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default" w:ascii="Times New Roman" w:hAnsi="Times New Roman" w:eastAsiaTheme="minorEastAsia"/>
          <w:lang w:val="en-US" w:eastAsia="zh-CN"/>
        </w:rPr>
      </w:pPr>
      <w:bookmarkStart w:id="0" w:name="OLE_LINK34"/>
      <w:bookmarkStart w:id="1" w:name="OLE_LINK12"/>
      <w:bookmarkStart w:id="2" w:name="OLE_LINK24"/>
      <w:bookmarkStart w:id="3" w:name="OLE_LINK13"/>
      <w:bookmarkStart w:id="4" w:name="OLE_LINK33"/>
      <w:bookmarkStart w:id="5" w:name="OLE_LINK1"/>
      <w:r>
        <w:rPr>
          <w:rFonts w:ascii="Times New Roman" w:hAnsi="Times New Roman"/>
          <w:b/>
        </w:rPr>
        <w:t>3GPP TSG RAN WG1 #11</w:t>
      </w:r>
      <w:r>
        <w:rPr>
          <w:rFonts w:hint="eastAsia" w:ascii="Times New Roman" w:hAnsi="Times New Roman"/>
          <w:b/>
        </w:rPr>
        <w:t>2bis-e</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bookmarkStart w:id="28" w:name="_GoBack"/>
      <w:bookmarkEnd w:id="28"/>
      <w:r>
        <w:rPr>
          <w:rFonts w:hint="eastAsia" w:ascii="Times New Roman" w:hAnsi="Times New Roman"/>
          <w:b/>
        </w:rPr>
        <w:t>R1-230</w:t>
      </w:r>
      <w:r>
        <w:rPr>
          <w:rFonts w:hint="eastAsia" w:ascii="Times New Roman" w:hAnsi="Times New Roman"/>
          <w:b/>
          <w:lang w:val="en-US" w:eastAsia="zh-CN"/>
        </w:rPr>
        <w:t>3279</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hint="eastAsia" w:ascii="Times New Roman" w:hAnsi="Times New Roman"/>
          <w:b/>
        </w:rPr>
        <w:t>e-meeting,</w:t>
      </w:r>
      <w:r>
        <w:rPr>
          <w:rFonts w:ascii="Times New Roman" w:hAnsi="Times New Roman"/>
          <w:b/>
          <w:lang w:eastAsia="ja-JP"/>
        </w:rPr>
        <w:t xml:space="preserve"> </w:t>
      </w:r>
      <w:r>
        <w:rPr>
          <w:rFonts w:hint="eastAsia" w:ascii="Times New Roman" w:hAnsi="Times New Roman"/>
          <w:b/>
        </w:rPr>
        <w:t>April 1</w:t>
      </w:r>
      <w:r>
        <w:rPr>
          <w:rFonts w:hint="eastAsia" w:ascii="Times New Roman" w:hAnsi="Times New Roman"/>
          <w:b/>
          <w:lang w:eastAsia="ja-JP"/>
        </w:rPr>
        <w:t>7</w:t>
      </w:r>
      <w:r>
        <w:rPr>
          <w:rFonts w:hint="eastAsia" w:ascii="Times New Roman" w:hAnsi="Times New Roman"/>
          <w:b/>
          <w:vertAlign w:val="superscript"/>
          <w:lang w:eastAsia="ja-JP"/>
        </w:rPr>
        <w:t>th</w:t>
      </w:r>
      <w:r>
        <w:rPr>
          <w:rFonts w:hint="eastAsia" w:ascii="Times New Roman" w:hAnsi="Times New Roman"/>
          <w:b/>
        </w:rPr>
        <w:t xml:space="preserve"> - 26</w:t>
      </w:r>
      <w:r>
        <w:rPr>
          <w:rFonts w:hint="eastAsia" w:ascii="Times New Roman" w:hAnsi="Times New Roman"/>
          <w:b/>
          <w:vertAlign w:val="superscript"/>
        </w:rPr>
        <w:t>th</w:t>
      </w:r>
      <w:r>
        <w:rPr>
          <w:rFonts w:hint="eastAsia" w:ascii="Times New Roman" w:hAnsi="Times New Roman"/>
          <w:b/>
          <w:lang w:eastAsia="ja-JP"/>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Source:</w:t>
      </w:r>
      <w:r>
        <w:rPr>
          <w:rFonts w:hint="eastAsia" w:ascii="Times New Roman" w:hAnsi="Times New Roman"/>
          <w:b/>
        </w:rPr>
        <w:tab/>
      </w:r>
      <w:r>
        <w:rPr>
          <w:rFonts w:hint="eastAsia"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Title:</w:t>
      </w:r>
      <w:r>
        <w:rPr>
          <w:rFonts w:hint="eastAsia" w:ascii="Times New Roman" w:hAnsi="Times New Roman"/>
          <w:b/>
        </w:rPr>
        <w:tab/>
      </w:r>
      <w:r>
        <w:rPr>
          <w:rFonts w:hint="eastAsia" w:ascii="Times New Roman" w:hAnsi="Times New Roman"/>
          <w:b/>
        </w:rPr>
        <w:t>Discussion on carrier phase positioning</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Agenda item:</w:t>
      </w:r>
      <w:r>
        <w:rPr>
          <w:rFonts w:hint="eastAsia" w:ascii="Times New Roman" w:hAnsi="Times New Roman"/>
          <w:b/>
        </w:rPr>
        <w:tab/>
      </w:r>
      <w:r>
        <w:rPr>
          <w:rFonts w:hint="eastAsia" w:ascii="Times New Roman" w:hAnsi="Times New Roman"/>
          <w:b/>
        </w:rPr>
        <w:t>9.5.2</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Document for:</w:t>
      </w:r>
      <w:r>
        <w:rPr>
          <w:rFonts w:hint="eastAsia" w:ascii="Times New Roman" w:hAnsi="Times New Roman"/>
          <w:b/>
        </w:rPr>
        <w:tab/>
      </w:r>
      <w:r>
        <w:rPr>
          <w:rFonts w:hint="eastAsia"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Introduction</w:t>
      </w:r>
      <w:r>
        <w:rPr>
          <w:rFonts w:hint="eastAsia" w:ascii="Times New Roman" w:hAnsi="Times New Roman"/>
          <w:sz w:val="28"/>
          <w:lang w:val="en-US"/>
        </w:rPr>
        <w:t xml:space="preserve"> </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w:t>
      </w:r>
      <w:r>
        <w:rPr>
          <w:rFonts w:hint="eastAsia" w:ascii="Times New Roman" w:hAnsi="Times New Roman" w:eastAsia="宋体"/>
          <w:sz w:val="20"/>
          <w:szCs w:val="20"/>
        </w:rPr>
        <w:t>3GPP TSG RAN WG1#112 [1]</w:t>
      </w:r>
      <w:r>
        <w:rPr>
          <w:rFonts w:ascii="Times New Roman" w:hAnsi="Times New Roman" w:eastAsia="宋体"/>
          <w:sz w:val="20"/>
          <w:szCs w:val="20"/>
        </w:rPr>
        <w:t xml:space="preserve">, the following </w:t>
      </w:r>
      <w:r>
        <w:rPr>
          <w:rFonts w:hint="eastAsia" w:ascii="Times New Roman" w:hAnsi="Times New Roman" w:eastAsia="宋体"/>
          <w:sz w:val="20"/>
          <w:szCs w:val="20"/>
        </w:rPr>
        <w:t xml:space="preserve">agreements </w:t>
      </w:r>
      <w:r>
        <w:rPr>
          <w:rFonts w:ascii="Times New Roman" w:hAnsi="Times New Roman" w:eastAsia="宋体"/>
          <w:sz w:val="20"/>
          <w:szCs w:val="20"/>
        </w:rPr>
        <w:t xml:space="preserve">were </w:t>
      </w:r>
      <w:r>
        <w:rPr>
          <w:rFonts w:hint="eastAsia" w:ascii="Times New Roman" w:hAnsi="Times New Roman" w:eastAsia="宋体"/>
          <w:sz w:val="20"/>
          <w:szCs w:val="20"/>
        </w:rPr>
        <w:t>made f</w:t>
      </w:r>
      <w:r>
        <w:rPr>
          <w:rFonts w:ascii="Times New Roman" w:hAnsi="Times New Roman" w:eastAsia="宋体"/>
          <w:sz w:val="20"/>
          <w:szCs w:val="20"/>
        </w:rPr>
        <w:t xml:space="preserve">or </w:t>
      </w:r>
      <w:r>
        <w:rPr>
          <w:rFonts w:hint="eastAsia" w:ascii="Times New Roman" w:hAnsi="Times New Roman" w:eastAsia="宋体"/>
          <w:sz w:val="20"/>
          <w:szCs w:val="20"/>
        </w:rPr>
        <w:t>carrier phase positioning</w:t>
      </w:r>
      <w:r>
        <w:rPr>
          <w:rFonts w:ascii="Times New Roman" w:hAnsi="Times New Roman" w:eastAsia="宋体"/>
          <w:sz w:val="20"/>
          <w:szCs w:val="20"/>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iCs/>
                <w:sz w:val="20"/>
                <w:szCs w:val="20"/>
                <w:lang w:eastAsia="ja-JP"/>
              </w:rPr>
            </w:pPr>
            <w:r>
              <w:rPr>
                <w:rFonts w:ascii="Times New Roman" w:hAnsi="Times New Roman"/>
                <w:iCs/>
                <w:sz w:val="20"/>
                <w:szCs w:val="20"/>
                <w:lang w:eastAsia="ja-JP"/>
              </w:rPr>
              <w:t>To enable UE-based and UE-assisted NR carrier phase positioning (CPP), one or both of the following new measurements should be introduced:</w:t>
            </w:r>
          </w:p>
          <w:p>
            <w:pPr>
              <w:pStyle w:val="94"/>
              <w:numPr>
                <w:ilvl w:val="0"/>
                <w:numId w:val="3"/>
              </w:numPr>
              <w:snapToGrid w:val="0"/>
              <w:spacing w:afterLines="50" w:line="240" w:lineRule="auto"/>
              <w:rPr>
                <w:iCs/>
                <w:sz w:val="20"/>
                <w:highlight w:val="none"/>
              </w:rPr>
            </w:pPr>
            <w:r>
              <w:rPr>
                <w:iCs/>
                <w:sz w:val="20"/>
              </w:rPr>
              <w:t>DL carrie</w:t>
            </w:r>
            <w:r>
              <w:rPr>
                <w:iCs/>
                <w:sz w:val="20"/>
                <w:highlight w:val="none"/>
              </w:rPr>
              <w:t>r phase (CP), which is obtained by a UE measuring the DL PRS signal(s) from a TRP.</w:t>
            </w:r>
          </w:p>
          <w:p>
            <w:pPr>
              <w:pStyle w:val="94"/>
              <w:numPr>
                <w:ilvl w:val="1"/>
                <w:numId w:val="3"/>
              </w:numPr>
              <w:snapToGrid w:val="0"/>
              <w:spacing w:afterLines="50" w:line="240" w:lineRule="auto"/>
              <w:rPr>
                <w:iCs/>
                <w:sz w:val="20"/>
                <w:highlight w:val="none"/>
              </w:rPr>
            </w:pPr>
            <w:r>
              <w:rPr>
                <w:iCs/>
                <w:sz w:val="20"/>
                <w:highlight w:val="none"/>
              </w:rPr>
              <w:t>FFS: The detailed definition of the DL CP</w:t>
            </w:r>
          </w:p>
          <w:p>
            <w:pPr>
              <w:pStyle w:val="94"/>
              <w:numPr>
                <w:ilvl w:val="0"/>
                <w:numId w:val="3"/>
              </w:numPr>
              <w:snapToGrid w:val="0"/>
              <w:spacing w:afterLines="50" w:line="240" w:lineRule="auto"/>
              <w:rPr>
                <w:iCs/>
                <w:sz w:val="20"/>
                <w:highlight w:val="none"/>
              </w:rPr>
            </w:pPr>
            <w:r>
              <w:rPr>
                <w:iCs/>
                <w:sz w:val="20"/>
                <w:highlight w:val="none"/>
              </w:rPr>
              <w:t>DL carrier phase difference (CPD), which is the difference of two DL CPs from two TRPs</w:t>
            </w:r>
          </w:p>
          <w:p>
            <w:pPr>
              <w:pStyle w:val="94"/>
              <w:numPr>
                <w:ilvl w:val="1"/>
                <w:numId w:val="3"/>
              </w:numPr>
              <w:snapToGrid w:val="0"/>
              <w:spacing w:afterLines="50" w:line="240" w:lineRule="auto"/>
              <w:rPr>
                <w:iCs/>
                <w:sz w:val="20"/>
                <w:highlight w:val="none"/>
              </w:rPr>
            </w:pPr>
            <w:r>
              <w:rPr>
                <w:iCs/>
                <w:sz w:val="20"/>
                <w:highlight w:val="none"/>
              </w:rPr>
              <w:t>FFS: The detailed definition of the DL CPD</w:t>
            </w:r>
          </w:p>
          <w:p>
            <w:pPr>
              <w:adjustRightInd w:val="0"/>
              <w:snapToGrid w:val="0"/>
              <w:spacing w:after="180" w:afterLines="50" w:line="240" w:lineRule="auto"/>
              <w:rPr>
                <w:rFonts w:ascii="Times New Roman" w:hAnsi="Times New Roman"/>
                <w:iCs/>
                <w:sz w:val="20"/>
                <w:szCs w:val="20"/>
                <w:highlight w:val="none"/>
                <w:lang w:eastAsia="ja-JP"/>
              </w:rPr>
            </w:pPr>
            <w:r>
              <w:rPr>
                <w:rFonts w:ascii="Times New Roman" w:hAnsi="Times New Roman"/>
                <w:iCs/>
                <w:sz w:val="20"/>
                <w:szCs w:val="20"/>
                <w:highlight w:val="none"/>
                <w:lang w:eastAsia="ja-JP"/>
              </w:rPr>
              <w:t>To enable NG-RAN node-assisted NR carrier phase positioning (CPP), the following new measurement should be introduced:</w:t>
            </w:r>
          </w:p>
          <w:p>
            <w:pPr>
              <w:pStyle w:val="94"/>
              <w:numPr>
                <w:ilvl w:val="0"/>
                <w:numId w:val="3"/>
              </w:numPr>
              <w:snapToGrid w:val="0"/>
              <w:spacing w:afterLines="50" w:line="240" w:lineRule="auto"/>
              <w:rPr>
                <w:sz w:val="20"/>
                <w:highlight w:val="none"/>
              </w:rPr>
            </w:pPr>
            <w:r>
              <w:rPr>
                <w:iCs/>
                <w:sz w:val="20"/>
                <w:highlight w:val="none"/>
              </w:rPr>
              <w:t>UL carrier phase (CP), which is obtained by a TRP measuring the UL SRS for positioning or MIMO SRS from a UE.</w:t>
            </w:r>
          </w:p>
          <w:p>
            <w:pPr>
              <w:pStyle w:val="94"/>
              <w:numPr>
                <w:ilvl w:val="1"/>
                <w:numId w:val="3"/>
              </w:numPr>
              <w:snapToGrid w:val="0"/>
              <w:spacing w:afterLines="50" w:line="240" w:lineRule="auto"/>
              <w:rPr>
                <w:sz w:val="20"/>
                <w:highlight w:val="none"/>
              </w:rPr>
            </w:pPr>
            <w:r>
              <w:rPr>
                <w:iCs/>
                <w:sz w:val="20"/>
                <w:highlight w:val="none"/>
              </w:rPr>
              <w:t>FFS: The detailed definition of the UL CP</w:t>
            </w:r>
          </w:p>
          <w:p>
            <w:pPr>
              <w:adjustRightInd w:val="0"/>
              <w:snapToGrid w:val="0"/>
              <w:spacing w:after="0" w:line="240" w:lineRule="auto"/>
              <w:rPr>
                <w:rFonts w:ascii="Times New Roman" w:hAnsi="Times New Roman"/>
                <w:b/>
                <w:sz w:val="20"/>
                <w:szCs w:val="20"/>
                <w:highlight w:val="none"/>
                <w:u w:val="single"/>
              </w:rPr>
            </w:pPr>
            <w:r>
              <w:rPr>
                <w:rFonts w:ascii="Times New Roman" w:hAnsi="Times New Roman"/>
                <w:b/>
                <w:sz w:val="20"/>
                <w:szCs w:val="20"/>
                <w:highlight w:val="none"/>
                <w:u w:val="single"/>
              </w:rPr>
              <w:t>Agreement</w:t>
            </w:r>
          </w:p>
          <w:p>
            <w:pPr>
              <w:adjustRightInd w:val="0"/>
              <w:snapToGrid w:val="0"/>
              <w:spacing w:after="180" w:afterLines="50" w:line="240" w:lineRule="auto"/>
              <w:jc w:val="both"/>
              <w:rPr>
                <w:rFonts w:ascii="Times New Roman" w:hAnsi="Times New Roman"/>
                <w:iCs/>
                <w:sz w:val="20"/>
                <w:szCs w:val="20"/>
                <w:highlight w:val="none"/>
                <w:lang w:val="en-CA"/>
              </w:rPr>
            </w:pPr>
            <w:r>
              <w:rPr>
                <w:rFonts w:ascii="Times New Roman" w:hAnsi="Times New Roman"/>
                <w:iCs/>
                <w:sz w:val="20"/>
                <w:szCs w:val="20"/>
                <w:highlight w:val="none"/>
                <w:lang w:val="en-CA"/>
              </w:rPr>
              <w:t>NR DL reference signal carrier phase (RSCP) (of i-th path) is defined as the phase of the channel response at the i-th path delay derived from</w:t>
            </w:r>
            <w:r>
              <w:rPr>
                <w:rFonts w:ascii="Times New Roman" w:hAnsi="Times New Roman" w:eastAsia="宋体"/>
                <w:iCs/>
                <w:sz w:val="20"/>
                <w:szCs w:val="20"/>
                <w:highlight w:val="none"/>
              </w:rPr>
              <w:t xml:space="preserve"> or based on</w:t>
            </w:r>
            <w:r>
              <w:rPr>
                <w:rFonts w:ascii="Times New Roman" w:hAnsi="Times New Roman"/>
                <w:iCs/>
                <w:sz w:val="20"/>
                <w:szCs w:val="20"/>
                <w:highlight w:val="none"/>
                <w:lang w:val="en-CA"/>
              </w:rPr>
              <w:t xml:space="preserve"> the resource elements (REs) that carry the DL PRS signals configured for the measurement. A RSCP is associated with a specific RF frequency.</w:t>
            </w:r>
          </w:p>
          <w:p>
            <w:pPr>
              <w:pStyle w:val="94"/>
              <w:numPr>
                <w:ilvl w:val="0"/>
                <w:numId w:val="4"/>
              </w:numPr>
              <w:snapToGrid w:val="0"/>
              <w:spacing w:afterLines="50" w:line="240" w:lineRule="auto"/>
              <w:jc w:val="both"/>
              <w:rPr>
                <w:iCs/>
                <w:sz w:val="20"/>
                <w:highlight w:val="none"/>
                <w:lang w:val="en-CA"/>
              </w:rPr>
            </w:pPr>
            <w:r>
              <w:rPr>
                <w:iCs/>
                <w:sz w:val="20"/>
                <w:highlight w:val="none"/>
                <w:lang w:val="en-CA"/>
              </w:rPr>
              <w:t>FFS: the reference point of the RSCP</w:t>
            </w:r>
          </w:p>
          <w:p>
            <w:pPr>
              <w:pStyle w:val="94"/>
              <w:numPr>
                <w:ilvl w:val="0"/>
                <w:numId w:val="4"/>
              </w:numPr>
              <w:snapToGrid w:val="0"/>
              <w:spacing w:afterLines="50" w:line="240" w:lineRule="auto"/>
              <w:jc w:val="both"/>
              <w:rPr>
                <w:iCs/>
                <w:sz w:val="20"/>
                <w:highlight w:val="none"/>
                <w:lang w:val="en-CA"/>
              </w:rPr>
            </w:pPr>
            <w:r>
              <w:rPr>
                <w:iCs/>
                <w:sz w:val="20"/>
                <w:highlight w:val="none"/>
                <w:lang w:val="en-CA"/>
              </w:rPr>
              <w:t>FFS: whether/how the measurement timing is defined</w:t>
            </w:r>
          </w:p>
          <w:p>
            <w:pPr>
              <w:pStyle w:val="94"/>
              <w:numPr>
                <w:ilvl w:val="0"/>
                <w:numId w:val="4"/>
              </w:numPr>
              <w:snapToGrid w:val="0"/>
              <w:spacing w:afterLines="50" w:line="240" w:lineRule="auto"/>
              <w:jc w:val="both"/>
              <w:rPr>
                <w:iCs/>
                <w:sz w:val="20"/>
                <w:lang w:val="en-CA"/>
              </w:rPr>
            </w:pPr>
            <w:r>
              <w:rPr>
                <w:iCs/>
                <w:sz w:val="20"/>
                <w:lang w:val="en-CA"/>
              </w:rPr>
              <w:t>Note: the i-th path is used for the sake of definition, whether only the first path or additional paths will be supported is subject to further discussion</w:t>
            </w:r>
          </w:p>
          <w:p>
            <w:pPr>
              <w:pStyle w:val="94"/>
              <w:numPr>
                <w:ilvl w:val="0"/>
                <w:numId w:val="4"/>
              </w:numPr>
              <w:snapToGrid w:val="0"/>
              <w:spacing w:afterLines="50" w:line="240" w:lineRule="auto"/>
              <w:jc w:val="both"/>
              <w:rPr>
                <w:iCs/>
                <w:sz w:val="20"/>
                <w:lang w:val="en-CA"/>
              </w:rPr>
            </w:pPr>
            <w:r>
              <w:rPr>
                <w:iCs/>
                <w:sz w:val="20"/>
                <w:lang w:val="en-CA"/>
              </w:rPr>
              <w:t>Note: Whether to capture the above definition into TS 38.215 depends on whether RAN1 decides to introduce DL carrier phase measurement for NR CPP</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jc w:val="both"/>
              <w:rPr>
                <w:rFonts w:ascii="Times New Roman" w:hAnsi="Times New Roman"/>
                <w:iCs/>
                <w:sz w:val="20"/>
                <w:szCs w:val="20"/>
                <w:lang w:val="en-CA"/>
              </w:rPr>
            </w:pPr>
            <w:r>
              <w:rPr>
                <w:rFonts w:ascii="Times New Roman" w:hAnsi="Times New Roman"/>
                <w:iCs/>
                <w:sz w:val="20"/>
                <w:szCs w:val="20"/>
                <w:lang w:val="en-CA"/>
              </w:rPr>
              <w:t>For NR DL reference signal carrier phase difference (RSCPD) measurement for NR CPP, the RSCPD is defined as the difference of RSCPs measured from the DL PRS signals from target TRP and reference TRP.</w:t>
            </w:r>
          </w:p>
          <w:p>
            <w:pPr>
              <w:pStyle w:val="94"/>
              <w:numPr>
                <w:ilvl w:val="0"/>
                <w:numId w:val="4"/>
              </w:numPr>
              <w:snapToGrid w:val="0"/>
              <w:spacing w:afterLines="50" w:line="240" w:lineRule="auto"/>
              <w:jc w:val="both"/>
              <w:rPr>
                <w:iCs/>
                <w:sz w:val="20"/>
                <w:lang w:val="en-CA"/>
              </w:rPr>
            </w:pPr>
            <w:r>
              <w:rPr>
                <w:iCs/>
                <w:sz w:val="20"/>
                <w:lang w:val="en-CA"/>
              </w:rPr>
              <w:t>FFS: whether/how to define per path RSCPD</w:t>
            </w:r>
          </w:p>
          <w:p>
            <w:pPr>
              <w:pStyle w:val="94"/>
              <w:numPr>
                <w:ilvl w:val="0"/>
                <w:numId w:val="4"/>
              </w:numPr>
              <w:snapToGrid w:val="0"/>
              <w:spacing w:afterLines="50" w:line="240" w:lineRule="auto"/>
              <w:jc w:val="both"/>
              <w:rPr>
                <w:iCs/>
                <w:sz w:val="20"/>
                <w:lang w:val="en-CA"/>
              </w:rPr>
            </w:pPr>
            <w:r>
              <w:rPr>
                <w:iCs/>
                <w:sz w:val="20"/>
                <w:lang w:val="en-CA"/>
              </w:rPr>
              <w:t>Note: Whether/how to capture the above definition into TS 38.215 depends on whether RAN1 decides to introduce DL carrier phase difference measurement for NR CPP</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sz w:val="20"/>
                <w:szCs w:val="20"/>
              </w:rPr>
            </w:pPr>
            <w:r>
              <w:rPr>
                <w:rFonts w:ascii="Times New Roman" w:hAnsi="Times New Roman"/>
                <w:bCs/>
                <w:sz w:val="20"/>
                <w:szCs w:val="20"/>
              </w:rPr>
              <w:t>For NR carrier phase positioning, at least support the following</w:t>
            </w:r>
            <w:r>
              <w:rPr>
                <w:rFonts w:ascii="Times New Roman" w:hAnsi="Times New Roman"/>
                <w:sz w:val="20"/>
                <w:szCs w:val="20"/>
              </w:rPr>
              <w:t xml:space="preserve"> approach: </w:t>
            </w:r>
          </w:p>
          <w:p>
            <w:pPr>
              <w:pStyle w:val="94"/>
              <w:numPr>
                <w:ilvl w:val="0"/>
                <w:numId w:val="4"/>
              </w:numPr>
              <w:snapToGrid w:val="0"/>
              <w:spacing w:afterLines="50" w:line="240" w:lineRule="auto"/>
              <w:jc w:val="both"/>
              <w:rPr>
                <w:bCs/>
                <w:sz w:val="20"/>
              </w:rPr>
            </w:pPr>
            <w:r>
              <w:rPr>
                <w:sz w:val="20"/>
              </w:rPr>
              <w:t xml:space="preserve">enable a UE/TRP to report </w:t>
            </w:r>
            <w:r>
              <w:rPr>
                <w:bCs/>
                <w:sz w:val="20"/>
              </w:rPr>
              <w:t>carrier phase measurements together with the legacy positioning measurements to LMF</w:t>
            </w:r>
          </w:p>
          <w:p>
            <w:pPr>
              <w:pStyle w:val="94"/>
              <w:numPr>
                <w:ilvl w:val="1"/>
                <w:numId w:val="3"/>
              </w:numPr>
              <w:snapToGrid w:val="0"/>
              <w:spacing w:afterLines="50" w:line="240" w:lineRule="auto"/>
              <w:rPr>
                <w:sz w:val="20"/>
              </w:rPr>
            </w:pPr>
            <w:r>
              <w:rPr>
                <w:iCs/>
                <w:sz w:val="20"/>
              </w:rPr>
              <w:t xml:space="preserve">FFS: </w:t>
            </w:r>
            <w:r>
              <w:rPr>
                <w:sz w:val="20"/>
              </w:rPr>
              <w:t xml:space="preserve">which </w:t>
            </w:r>
            <w:r>
              <w:rPr>
                <w:bCs/>
                <w:sz w:val="20"/>
              </w:rPr>
              <w:t>legacy positioning measurements among RSTD, RTOA, UE Rx-Tx time difference measurements, gNB Rx-Tx time difference measurements</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jc w:val="both"/>
              <w:rPr>
                <w:rFonts w:ascii="Times New Roman" w:hAnsi="Times New Roman"/>
                <w:iCs/>
                <w:sz w:val="20"/>
                <w:szCs w:val="20"/>
                <w:lang w:val="en-CA"/>
              </w:rPr>
            </w:pPr>
            <w:r>
              <w:rPr>
                <w:rFonts w:ascii="Times New Roman" w:hAnsi="Times New Roman"/>
                <w:iCs/>
                <w:sz w:val="20"/>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pPr>
              <w:pStyle w:val="94"/>
              <w:numPr>
                <w:ilvl w:val="0"/>
                <w:numId w:val="4"/>
              </w:numPr>
              <w:snapToGrid w:val="0"/>
              <w:spacing w:afterLines="50" w:line="240" w:lineRule="auto"/>
              <w:jc w:val="both"/>
              <w:rPr>
                <w:iCs/>
                <w:sz w:val="20"/>
                <w:lang w:val="en-CA"/>
              </w:rPr>
            </w:pPr>
            <w:r>
              <w:rPr>
                <w:iCs/>
                <w:sz w:val="20"/>
                <w:lang w:val="en-CA"/>
              </w:rPr>
              <w:t>FFS: the reference point of the UL RSCP</w:t>
            </w:r>
          </w:p>
          <w:p>
            <w:pPr>
              <w:pStyle w:val="94"/>
              <w:numPr>
                <w:ilvl w:val="0"/>
                <w:numId w:val="4"/>
              </w:numPr>
              <w:snapToGrid w:val="0"/>
              <w:spacing w:afterLines="50" w:line="240" w:lineRule="auto"/>
              <w:jc w:val="both"/>
              <w:rPr>
                <w:iCs/>
                <w:sz w:val="20"/>
                <w:lang w:val="en-CA"/>
              </w:rPr>
            </w:pPr>
            <w:r>
              <w:rPr>
                <w:iCs/>
                <w:sz w:val="20"/>
                <w:lang w:val="en-CA"/>
              </w:rPr>
              <w:t>FFS: whether/how the measurement timing is defined</w:t>
            </w:r>
          </w:p>
          <w:p>
            <w:pPr>
              <w:pStyle w:val="94"/>
              <w:numPr>
                <w:ilvl w:val="0"/>
                <w:numId w:val="4"/>
              </w:numPr>
              <w:snapToGrid w:val="0"/>
              <w:spacing w:afterLines="50" w:line="240" w:lineRule="auto"/>
              <w:jc w:val="both"/>
              <w:rPr>
                <w:iCs/>
                <w:sz w:val="20"/>
                <w:lang w:val="en-CA"/>
              </w:rPr>
            </w:pPr>
            <w:r>
              <w:rPr>
                <w:iCs/>
                <w:sz w:val="20"/>
                <w:lang w:val="en-CA"/>
              </w:rPr>
              <w:t>Note: the i-th path is used for the sake of definition, whether only the first path or additional paths will be supported is subject to further discussion</w:t>
            </w:r>
          </w:p>
          <w:p>
            <w:pPr>
              <w:pStyle w:val="94"/>
              <w:numPr>
                <w:ilvl w:val="0"/>
                <w:numId w:val="4"/>
              </w:numPr>
              <w:snapToGrid w:val="0"/>
              <w:spacing w:afterLines="50" w:line="240" w:lineRule="auto"/>
              <w:jc w:val="both"/>
              <w:rPr>
                <w:iCs/>
                <w:sz w:val="20"/>
                <w:lang w:val="en-CA"/>
              </w:rPr>
            </w:pPr>
            <w:r>
              <w:rPr>
                <w:iCs/>
                <w:sz w:val="20"/>
                <w:lang w:val="en-CA"/>
              </w:rPr>
              <w:t>Note: The support of MIMO SRS for positioning is transparent to UE</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bCs/>
                <w:sz w:val="20"/>
                <w:szCs w:val="20"/>
              </w:rPr>
            </w:pPr>
            <w:r>
              <w:rPr>
                <w:rFonts w:ascii="Times New Roman" w:hAnsi="Times New Roman"/>
                <w:bCs/>
                <w:sz w:val="20"/>
                <w:szCs w:val="20"/>
              </w:rPr>
              <w:t>To support NR carrier phase positioning, further consider the following</w:t>
            </w:r>
            <w:r>
              <w:rPr>
                <w:rFonts w:ascii="Times New Roman" w:hAnsi="Times New Roman"/>
                <w:sz w:val="20"/>
                <w:szCs w:val="20"/>
              </w:rPr>
              <w:t xml:space="preserve"> options:</w:t>
            </w:r>
          </w:p>
          <w:p>
            <w:pPr>
              <w:pStyle w:val="84"/>
              <w:numPr>
                <w:ilvl w:val="0"/>
                <w:numId w:val="5"/>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1: Support a UE/TRP to report the carrier phase measurements of more than one frequency within a PFL/carrier to LMF</w:t>
            </w:r>
          </w:p>
          <w:p>
            <w:pPr>
              <w:pStyle w:val="79"/>
              <w:numPr>
                <w:ilvl w:val="1"/>
                <w:numId w:val="5"/>
              </w:numPr>
              <w:adjustRightInd w:val="0"/>
              <w:snapToGrid w:val="0"/>
              <w:spacing w:afterLines="50"/>
            </w:pPr>
            <w:r>
              <w:t>NOTE: the frequency can be the carrier frequency or the frequency of a subcarrier</w:t>
            </w:r>
          </w:p>
          <w:p>
            <w:pPr>
              <w:pStyle w:val="79"/>
              <w:numPr>
                <w:ilvl w:val="1"/>
                <w:numId w:val="5"/>
              </w:numPr>
              <w:adjustRightInd w:val="0"/>
              <w:snapToGrid w:val="0"/>
              <w:spacing w:afterLines="50"/>
            </w:pPr>
            <w:r>
              <w:t>FFS: the details of reporting, e.g., the maximum number of reported frequencies within a PFL/ carrier</w:t>
            </w:r>
          </w:p>
          <w:p>
            <w:pPr>
              <w:pStyle w:val="84"/>
              <w:numPr>
                <w:ilvl w:val="0"/>
                <w:numId w:val="5"/>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2: Introduce and report a</w:t>
            </w:r>
            <w:r>
              <w:rPr>
                <w:rFonts w:ascii="Times New Roman" w:hAnsi="Times New Roman" w:eastAsia="Batang"/>
                <w:sz w:val="20"/>
                <w:szCs w:val="20"/>
              </w:rPr>
              <w:t xml:space="preserve"> new type of UE/TRP </w:t>
            </w:r>
            <w:r>
              <w:rPr>
                <w:rFonts w:ascii="Times New Roman" w:hAnsi="Times New Roman"/>
                <w:sz w:val="20"/>
                <w:szCs w:val="20"/>
              </w:rPr>
              <w:t>measurement</w:t>
            </w:r>
            <w:r>
              <w:rPr>
                <w:rFonts w:ascii="Times New Roman" w:hAnsi="Times New Roman" w:eastAsia="Batang"/>
                <w:sz w:val="20"/>
                <w:szCs w:val="20"/>
              </w:rPr>
              <w:t xml:space="preserve"> based on carrier phase differentials across multiple subcarriers within a PFL/carrier</w:t>
            </w:r>
          </w:p>
          <w:p>
            <w:pPr>
              <w:pStyle w:val="79"/>
              <w:numPr>
                <w:ilvl w:val="1"/>
                <w:numId w:val="5"/>
              </w:numPr>
              <w:adjustRightInd w:val="0"/>
              <w:snapToGrid w:val="0"/>
              <w:spacing w:afterLines="50"/>
            </w:pPr>
            <w:r>
              <w:t xml:space="preserve">NOTE: </w:t>
            </w:r>
            <w:r>
              <w:rPr>
                <w:rFonts w:eastAsia="Batang"/>
              </w:rPr>
              <w:t>carrier</w:t>
            </w:r>
            <w:r>
              <w:t xml:space="preserve"> phase differentials across multiple subcarriers within a carrier can be related to time of arrival</w:t>
            </w:r>
          </w:p>
          <w:p>
            <w:pPr>
              <w:pStyle w:val="84"/>
              <w:numPr>
                <w:ilvl w:val="0"/>
                <w:numId w:val="5"/>
              </w:numPr>
              <w:adjustRightInd w:val="0"/>
              <w:snapToGrid w:val="0"/>
              <w:spacing w:after="180" w:afterLines="50" w:line="240" w:lineRule="auto"/>
              <w:rPr>
                <w:rFonts w:ascii="Times New Roman" w:hAnsi="Times New Roman" w:eastAsia="Batang"/>
                <w:bCs/>
                <w:sz w:val="20"/>
                <w:szCs w:val="20"/>
              </w:rPr>
            </w:pPr>
            <w:r>
              <w:rPr>
                <w:rFonts w:ascii="Times New Roman" w:hAnsi="Times New Roman"/>
                <w:sz w:val="20"/>
                <w:szCs w:val="20"/>
              </w:rPr>
              <w:t xml:space="preserve">Option 3: Support a UE/TRP to optionally report an estimated </w:t>
            </w:r>
            <w:r>
              <w:rPr>
                <w:rFonts w:ascii="Times New Roman" w:hAnsi="Times New Roman" w:eastAsia="Batang"/>
                <w:bCs/>
                <w:sz w:val="20"/>
                <w:szCs w:val="20"/>
              </w:rPr>
              <w:t>integer ambiguity and/or search range of the integer ambiguity to LMF</w:t>
            </w:r>
            <w:r>
              <w:rPr>
                <w:rFonts w:hint="eastAsia" w:ascii="Times New Roman" w:hAnsi="Times New Roman" w:eastAsia="宋体"/>
                <w:bCs/>
                <w:sz w:val="20"/>
                <w:szCs w:val="20"/>
              </w:rPr>
              <w:t>.</w:t>
            </w:r>
          </w:p>
          <w:p>
            <w:pPr>
              <w:pStyle w:val="94"/>
              <w:numPr>
                <w:ilvl w:val="0"/>
                <w:numId w:val="5"/>
              </w:numPr>
              <w:snapToGrid w:val="0"/>
              <w:spacing w:afterLines="50" w:line="240" w:lineRule="auto"/>
              <w:rPr>
                <w:bCs/>
                <w:sz w:val="20"/>
              </w:rPr>
            </w:pPr>
            <w:r>
              <w:rPr>
                <w:sz w:val="20"/>
              </w:rPr>
              <w:t>Option 4: Support LMF to provide the expected integer ambiguity range at least for UE-based NR CPP in the positioning assistance data.</w:t>
            </w:r>
          </w:p>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pPr>
            <w:r>
              <w:rPr>
                <w:rFonts w:ascii="Times New Roman" w:hAnsi="Times New Roman"/>
                <w:sz w:val="20"/>
                <w:szCs w:val="20"/>
              </w:rPr>
              <w:t>Rel-17 LOS/NLOS indication (when indicated) applies for the carrier phase measurement(s) in the same report.</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this contribution, we provide our views on carrier phase positioning techniques from RAN1 perspective.</w:t>
      </w:r>
    </w:p>
    <w:p>
      <w:pPr>
        <w:pStyle w:val="2"/>
        <w:snapToGrid w:val="0"/>
        <w:spacing w:before="120" w:after="180" w:afterLines="50"/>
        <w:ind w:left="431" w:hanging="431"/>
        <w:jc w:val="both"/>
        <w:rPr>
          <w:lang w:val="en-US"/>
        </w:rPr>
      </w:pPr>
      <w:r>
        <w:rPr>
          <w:rFonts w:hint="eastAsia" w:ascii="Times New Roman" w:hAnsi="Times New Roman"/>
          <w:sz w:val="28"/>
          <w:lang w:val="en-US"/>
        </w:rPr>
        <w:t>Physical layer measurement and s</w:t>
      </w:r>
      <w:r>
        <w:rPr>
          <w:rFonts w:ascii="Times New Roman" w:hAnsi="Times New Roman"/>
          <w:sz w:val="28"/>
          <w:lang w:val="en-US" w:eastAsia="ko-KR"/>
        </w:rPr>
        <w:t xml:space="preserve">ignalling </w:t>
      </w:r>
      <w:r>
        <w:rPr>
          <w:rFonts w:hint="eastAsia" w:ascii="Times New Roman" w:hAnsi="Times New Roman"/>
          <w:sz w:val="28"/>
          <w:lang w:val="en-US"/>
        </w:rPr>
        <w:t>for carrier phase positioning</w:t>
      </w:r>
    </w:p>
    <w:p>
      <w:pPr>
        <w:pStyle w:val="3"/>
        <w:snapToGrid w:val="0"/>
        <w:spacing w:line="240" w:lineRule="auto"/>
        <w:rPr>
          <w:sz w:val="24"/>
          <w:szCs w:val="24"/>
        </w:rPr>
      </w:pPr>
      <w:r>
        <w:rPr>
          <w:rFonts w:hint="eastAsia"/>
          <w:sz w:val="24"/>
          <w:szCs w:val="24"/>
        </w:rPr>
        <w:t xml:space="preserve">Carrier phase measurement </w:t>
      </w:r>
      <w:r>
        <w:rPr>
          <w:rFonts w:hint="eastAsia"/>
          <w:sz w:val="24"/>
          <w:szCs w:val="24"/>
          <w:lang w:val="en-US"/>
        </w:rPr>
        <w:t xml:space="preserve">configuration and/or </w:t>
      </w:r>
      <w:r>
        <w:rPr>
          <w:rFonts w:hint="eastAsia"/>
          <w:sz w:val="24"/>
          <w:szCs w:val="24"/>
        </w:rPr>
        <w:t>report</w:t>
      </w:r>
    </w:p>
    <w:p>
      <w:pPr>
        <w:pStyle w:val="4"/>
        <w:numPr>
          <w:ilvl w:val="1"/>
          <w:numId w:val="0"/>
        </w:numPr>
        <w:ind w:left="220" w:leftChars="100"/>
        <w:rPr>
          <w:lang w:val="en-US"/>
        </w:rPr>
      </w:pPr>
      <w:r>
        <w:rPr>
          <w:rFonts w:hint="eastAsia"/>
          <w:lang w:val="en-US"/>
        </w:rPr>
        <w:t xml:space="preserve">2.1.1 Integer ambiguity </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w:t>
      </w:r>
      <w:r>
        <w:rPr>
          <w:rFonts w:hint="eastAsia" w:ascii="Times New Roman" w:hAnsi="Times New Roman"/>
          <w:sz w:val="20"/>
          <w:szCs w:val="20"/>
        </w:rPr>
        <w:t xml:space="preserve">approved </w:t>
      </w:r>
      <w:r>
        <w:rPr>
          <w:rFonts w:ascii="Times New Roman" w:hAnsi="Times New Roman"/>
          <w:sz w:val="20"/>
          <w:szCs w:val="20"/>
        </w:rPr>
        <w:t>in previous meeting (</w:t>
      </w:r>
      <w:r>
        <w:rPr>
          <w:rFonts w:hint="eastAsia" w:ascii="Times New Roman" w:hAnsi="Times New Roman" w:eastAsia="宋体"/>
          <w:sz w:val="20"/>
          <w:szCs w:val="20"/>
        </w:rPr>
        <w:t>3GPP RAN Meeting #98-e</w:t>
      </w:r>
      <w:r>
        <w:rPr>
          <w:rFonts w:ascii="Times New Roman" w:hAnsi="Times New Roman"/>
          <w:sz w:val="20"/>
          <w:szCs w:val="20"/>
        </w:rPr>
        <w:t>)</w:t>
      </w:r>
      <w:r>
        <w:rPr>
          <w:rFonts w:hint="eastAsia" w:ascii="Times New Roman" w:hAnsi="Times New Roman"/>
          <w:sz w:val="20"/>
          <w:szCs w:val="20"/>
        </w:rPr>
        <w:t xml:space="preserve"> [2]</w:t>
      </w:r>
      <w:r>
        <w:rPr>
          <w:rFonts w:ascii="Times New Roman" w:hAnsi="Times New Roman"/>
          <w:sz w:val="20"/>
          <w:szCs w:val="20"/>
        </w:rPr>
        <w:t xml:space="preserve">, the carrier phase positioning </w:t>
      </w:r>
      <w:r>
        <w:rPr>
          <w:rFonts w:hint="eastAsia" w:ascii="Times New Roman" w:hAnsi="Times New Roman"/>
          <w:sz w:val="20"/>
          <w:szCs w:val="20"/>
        </w:rPr>
        <w:t xml:space="preserve">is supported in Rel-18 WID, for UE-assisted positioning, </w:t>
      </w:r>
      <w:r>
        <w:rPr>
          <w:rFonts w:hint="eastAsia" w:ascii="Times New Roman" w:hAnsi="Times New Roman" w:eastAsia="宋体"/>
          <w:sz w:val="20"/>
          <w:szCs w:val="20"/>
        </w:rPr>
        <w:t>e</w:t>
      </w:r>
      <w:r>
        <w:rPr>
          <w:rFonts w:ascii="Times New Roman" w:hAnsi="Times New Roman" w:eastAsia="MS Mincho"/>
          <w:sz w:val="20"/>
          <w:szCs w:val="20"/>
          <w:lang w:eastAsia="ko-KR"/>
        </w:rPr>
        <w:t>xisting DL PRS</w:t>
      </w:r>
      <w:r>
        <w:rPr>
          <w:rFonts w:hint="eastAsia" w:ascii="Times New Roman" w:hAnsi="Times New Roman" w:eastAsia="宋体"/>
          <w:sz w:val="20"/>
          <w:szCs w:val="20"/>
          <w:lang w:val="en-US" w:eastAsia="zh-CN"/>
        </w:rPr>
        <w:t xml:space="preserve"> </w:t>
      </w:r>
      <w:r>
        <w:rPr>
          <w:rFonts w:hint="eastAsia" w:ascii="Times New Roman" w:hAnsi="Times New Roman" w:eastAsia="宋体"/>
          <w:sz w:val="20"/>
          <w:szCs w:val="20"/>
        </w:rPr>
        <w:t xml:space="preserve">is </w:t>
      </w:r>
      <w:r>
        <w:rPr>
          <w:rFonts w:ascii="Times New Roman" w:hAnsi="Times New Roman" w:eastAsia="MS Mincho"/>
          <w:sz w:val="20"/>
          <w:szCs w:val="20"/>
          <w:lang w:eastAsia="ko-KR"/>
        </w:rPr>
        <w:t>used for carrier phase measurements.</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For carrier phase positioning,</w:t>
      </w:r>
      <w:r>
        <w:rPr>
          <w:rFonts w:hint="eastAsia" w:ascii="Times New Roman" w:hAnsi="Times New Roman" w:eastAsia="宋体"/>
          <w:sz w:val="20"/>
          <w:szCs w:val="20"/>
        </w:rPr>
        <w:t xml:space="preserve"> an integer part N and a </w:t>
      </w:r>
      <w:r>
        <w:rPr>
          <w:rFonts w:ascii="Times New Roman" w:hAnsi="Times New Roman"/>
          <w:sz w:val="20"/>
          <w:szCs w:val="20"/>
        </w:rPr>
        <w:t>fractional part</w:t>
      </w:r>
      <w:r>
        <w:rPr>
          <w:rFonts w:hint="eastAsia" w:ascii="Times New Roman" w:hAnsi="Times New Roman"/>
          <w:sz w:val="20"/>
          <w:szCs w:val="20"/>
        </w:rPr>
        <w:t xml:space="preserve"> </w:t>
      </w:r>
      <w:r>
        <w:rPr>
          <w:rFonts w:ascii="Times New Roman" w:hAnsi="Times New Roman" w:eastAsia="宋体"/>
          <w:kern w:val="2"/>
          <w:position w:val="-4"/>
          <w:sz w:val="20"/>
          <w:szCs w:val="20"/>
        </w:rPr>
        <w:t>Φ</w:t>
      </w:r>
      <w:r>
        <w:rPr>
          <w:rFonts w:hint="eastAsia" w:ascii="Times New Roman" w:hAnsi="Times New Roman"/>
          <w:sz w:val="20"/>
          <w:szCs w:val="20"/>
        </w:rPr>
        <w:t xml:space="preserve"> </w:t>
      </w:r>
      <w:r>
        <w:rPr>
          <w:rFonts w:ascii="Times New Roman" w:hAnsi="Times New Roman"/>
          <w:sz w:val="20"/>
          <w:szCs w:val="20"/>
        </w:rPr>
        <w:t>of carrier phase</w:t>
      </w:r>
      <w:r>
        <w:rPr>
          <w:rFonts w:hint="eastAsia" w:ascii="Times New Roman" w:hAnsi="Times New Roman"/>
          <w:sz w:val="20"/>
          <w:szCs w:val="20"/>
        </w:rPr>
        <w:t xml:space="preserve"> is required to calculate the target UE</w:t>
      </w:r>
      <w:r>
        <w:rPr>
          <w:rFonts w:ascii="Times New Roman" w:hAnsi="Times New Roman"/>
          <w:sz w:val="20"/>
          <w:szCs w:val="20"/>
        </w:rPr>
        <w:t>’</w:t>
      </w:r>
      <w:r>
        <w:rPr>
          <w:rFonts w:hint="eastAsia" w:ascii="Times New Roman" w:hAnsi="Times New Roman"/>
          <w:sz w:val="20"/>
          <w:szCs w:val="20"/>
        </w:rPr>
        <w:t xml:space="preserve">s location for carrier phase positioning. Wherein, the integer part search range </w:t>
      </w:r>
      <w:r>
        <w:rPr>
          <w:rFonts w:ascii="Times New Roman" w:hAnsi="Times New Roman"/>
          <w:sz w:val="20"/>
          <w:szCs w:val="20"/>
        </w:rPr>
        <w:t>can be deduced from the timing</w:t>
      </w:r>
      <w:r>
        <w:rPr>
          <w:rFonts w:hint="eastAsia" w:ascii="Times New Roman" w:hAnsi="Times New Roman"/>
          <w:sz w:val="20"/>
          <w:szCs w:val="20"/>
        </w:rPr>
        <w:t xml:space="preserve"> </w:t>
      </w:r>
      <w:r>
        <w:rPr>
          <w:rFonts w:ascii="Times New Roman" w:hAnsi="Times New Roman"/>
          <w:sz w:val="20"/>
          <w:szCs w:val="20"/>
        </w:rPr>
        <w:t>based positioning technology</w:t>
      </w:r>
      <w:r>
        <w:rPr>
          <w:rFonts w:hint="eastAsia" w:ascii="Times New Roman" w:hAnsi="Times New Roman"/>
          <w:sz w:val="20"/>
          <w:szCs w:val="20"/>
        </w:rPr>
        <w:t xml:space="preserve"> if carrier phase positioning </w:t>
      </w:r>
      <w:r>
        <w:rPr>
          <w:rFonts w:hint="eastAsia" w:ascii="Times New Roman" w:hAnsi="Times New Roman"/>
          <w:sz w:val="20"/>
          <w:szCs w:val="20"/>
          <w:lang w:val="en-US" w:eastAsia="zh-CN"/>
        </w:rPr>
        <w:t>is not a standalone positioning method, i.e., carrier phase positioning is executed together</w:t>
      </w:r>
      <w:r>
        <w:rPr>
          <w:rFonts w:hint="eastAsia" w:ascii="Times New Roman" w:hAnsi="Times New Roman"/>
          <w:sz w:val="20"/>
          <w:szCs w:val="20"/>
        </w:rPr>
        <w:t xml:space="preserve"> with other </w:t>
      </w:r>
      <w:r>
        <w:rPr>
          <w:rFonts w:hint="eastAsia" w:ascii="Times New Roman" w:hAnsi="Times New Roman"/>
          <w:sz w:val="20"/>
          <w:szCs w:val="20"/>
          <w:lang w:val="en-US" w:eastAsia="zh-CN"/>
        </w:rPr>
        <w:t xml:space="preserve">legacy </w:t>
      </w:r>
      <w:r>
        <w:rPr>
          <w:rFonts w:hint="eastAsia" w:ascii="Times New Roman" w:hAnsi="Times New Roman"/>
          <w:sz w:val="20"/>
          <w:szCs w:val="20"/>
        </w:rPr>
        <w:t xml:space="preserve">positioning technologies </w:t>
      </w:r>
      <w:r>
        <w:rPr>
          <w:rFonts w:ascii="Times New Roman" w:hAnsi="Times New Roman"/>
          <w:sz w:val="20"/>
          <w:szCs w:val="20"/>
        </w:rPr>
        <w:t>(such as TDOA)</w:t>
      </w:r>
      <w:r>
        <w:rPr>
          <w:rFonts w:hint="eastAsia" w:ascii="Times New Roman" w:hAnsi="Times New Roman"/>
          <w:sz w:val="20"/>
          <w:szCs w:val="20"/>
        </w:rPr>
        <w:t xml:space="preserve">, and the </w:t>
      </w:r>
      <w:r>
        <w:rPr>
          <w:rFonts w:ascii="Times New Roman" w:hAnsi="Times New Roman"/>
          <w:sz w:val="20"/>
          <w:szCs w:val="20"/>
        </w:rPr>
        <w:t>fractional part</w:t>
      </w:r>
      <w:r>
        <w:rPr>
          <w:rFonts w:hint="eastAsia" w:ascii="Times New Roman" w:hAnsi="Times New Roman"/>
          <w:sz w:val="20"/>
          <w:szCs w:val="20"/>
        </w:rPr>
        <w:t xml:space="preserve"> </w:t>
      </w:r>
      <w:r>
        <w:rPr>
          <w:rFonts w:ascii="Times New Roman" w:hAnsi="Times New Roman" w:eastAsia="宋体"/>
          <w:kern w:val="2"/>
          <w:position w:val="-4"/>
          <w:sz w:val="20"/>
          <w:szCs w:val="20"/>
        </w:rPr>
        <w:t>Φ</w:t>
      </w:r>
      <w:r>
        <w:rPr>
          <w:rFonts w:hint="eastAsia" w:ascii="Times New Roman" w:hAnsi="Times New Roman" w:eastAsia="宋体"/>
          <w:kern w:val="2"/>
          <w:position w:val="-4"/>
          <w:sz w:val="20"/>
          <w:szCs w:val="20"/>
        </w:rPr>
        <w:t xml:space="preserve"> </w:t>
      </w:r>
      <w:r>
        <w:rPr>
          <w:rFonts w:hint="eastAsia" w:ascii="Times New Roman" w:hAnsi="Times New Roman"/>
          <w:sz w:val="20"/>
          <w:szCs w:val="20"/>
        </w:rPr>
        <w:t>is the c</w:t>
      </w:r>
      <w:r>
        <w:rPr>
          <w:rFonts w:ascii="Times New Roman" w:hAnsi="Times New Roman"/>
          <w:sz w:val="20"/>
          <w:szCs w:val="20"/>
        </w:rPr>
        <w:t>arrier phase</w:t>
      </w:r>
      <w:r>
        <w:rPr>
          <w:rFonts w:hint="eastAsia" w:ascii="Times New Roman" w:hAnsi="Times New Roman"/>
          <w:sz w:val="20"/>
          <w:szCs w:val="20"/>
        </w:rPr>
        <w:t xml:space="preserve"> measured by the receiver</w:t>
      </w:r>
      <w:r>
        <w:rPr>
          <w:rFonts w:ascii="Times New Roman" w:hAnsi="Times New Roman"/>
          <w:sz w:val="20"/>
          <w:szCs w:val="20"/>
        </w:rPr>
        <w:t xml:space="preserve"> (e.g., </w:t>
      </w:r>
      <w:r>
        <w:rPr>
          <w:rFonts w:hint="eastAsia" w:ascii="Times New Roman" w:hAnsi="Times New Roman"/>
          <w:sz w:val="20"/>
          <w:szCs w:val="20"/>
        </w:rPr>
        <w:t>in</w:t>
      </w:r>
      <w:r>
        <w:rPr>
          <w:rFonts w:ascii="Times New Roman" w:hAnsi="Times New Roman"/>
          <w:sz w:val="20"/>
          <w:szCs w:val="20"/>
        </w:rPr>
        <w:t xml:space="preserve"> the time domain or frequency domain based on the existing PRS)</w:t>
      </w:r>
      <w:r>
        <w:rPr>
          <w:rFonts w:hint="eastAsia" w:ascii="Times New Roman" w:hAnsi="Times New Roman"/>
          <w:sz w:val="20"/>
          <w:szCs w:val="20"/>
        </w:rPr>
        <w:t xml:space="preserve">. </w:t>
      </w:r>
    </w:p>
    <w:p>
      <w:pPr>
        <w:pStyle w:val="94"/>
        <w:snapToGrid w:val="0"/>
        <w:spacing w:before="180" w:beforeLines="50" w:afterLines="50" w:line="240" w:lineRule="auto"/>
        <w:ind w:left="0"/>
        <w:jc w:val="both"/>
        <w:rPr>
          <w:sz w:val="20"/>
        </w:rPr>
      </w:pPr>
      <w:r>
        <w:rPr>
          <w:sz w:val="20"/>
          <w:lang w:eastAsia="zh-CN"/>
        </w:rPr>
        <w:t xml:space="preserve">In our </w:t>
      </w:r>
      <w:r>
        <w:rPr>
          <w:rFonts w:hint="eastAsia"/>
          <w:sz w:val="20"/>
          <w:lang w:eastAsia="zh-CN"/>
        </w:rPr>
        <w:t xml:space="preserve">previous </w:t>
      </w:r>
      <w:r>
        <w:rPr>
          <w:sz w:val="20"/>
          <w:lang w:eastAsia="zh-CN"/>
        </w:rPr>
        <w:t>contributions</w:t>
      </w:r>
      <w:r>
        <w:rPr>
          <w:rFonts w:hint="eastAsia"/>
          <w:sz w:val="20"/>
          <w:lang w:eastAsia="zh-CN"/>
        </w:rPr>
        <w:t xml:space="preserve"> [3,4]</w:t>
      </w:r>
      <w:r>
        <w:rPr>
          <w:sz w:val="20"/>
          <w:lang w:eastAsia="zh-CN"/>
        </w:rPr>
        <w:t>, it</w:t>
      </w:r>
      <w:r>
        <w:rPr>
          <w:rFonts w:hint="eastAsia"/>
          <w:sz w:val="20"/>
          <w:lang w:eastAsia="zh-CN"/>
        </w:rPr>
        <w:t xml:space="preserve"> is proved that t</w:t>
      </w:r>
      <w:r>
        <w:rPr>
          <w:sz w:val="20"/>
        </w:rPr>
        <w:t>he integer search</w:t>
      </w:r>
      <w:r>
        <w:rPr>
          <w:rFonts w:hint="eastAsia"/>
          <w:sz w:val="20"/>
          <w:lang w:eastAsia="zh-CN"/>
        </w:rPr>
        <w:t xml:space="preserve"> procedure</w:t>
      </w:r>
      <w:r>
        <w:rPr>
          <w:sz w:val="20"/>
        </w:rPr>
        <w:t xml:space="preserve"> is time</w:t>
      </w:r>
      <w:r>
        <w:rPr>
          <w:rFonts w:hint="eastAsia"/>
          <w:sz w:val="20"/>
          <w:lang w:eastAsia="zh-CN"/>
        </w:rPr>
        <w:t>-</w:t>
      </w:r>
      <w:r>
        <w:rPr>
          <w:sz w:val="20"/>
        </w:rPr>
        <w:t>consuming</w:t>
      </w:r>
      <w:r>
        <w:rPr>
          <w:rFonts w:hint="eastAsia"/>
          <w:sz w:val="20"/>
          <w:lang w:eastAsia="zh-CN"/>
        </w:rPr>
        <w:t xml:space="preserve"> especially when the integer ambiguity exceed</w:t>
      </w:r>
      <w:r>
        <w:rPr>
          <w:rFonts w:hint="eastAsia"/>
          <w:sz w:val="20"/>
          <w:lang w:val="en-US" w:eastAsia="zh-CN"/>
        </w:rPr>
        <w:t xml:space="preserve">s </w:t>
      </w:r>
      <w:r>
        <w:rPr>
          <w:rFonts w:hint="eastAsia"/>
          <w:sz w:val="20"/>
          <w:lang w:eastAsia="zh-CN"/>
        </w:rPr>
        <w:t xml:space="preserve">a certain level, which heavily </w:t>
      </w:r>
      <w:r>
        <w:rPr>
          <w:rFonts w:hint="eastAsia"/>
          <w:sz w:val="20"/>
          <w:lang w:val="en-US" w:eastAsia="zh-CN"/>
        </w:rPr>
        <w:t xml:space="preserve">affects </w:t>
      </w:r>
      <w:r>
        <w:rPr>
          <w:rFonts w:hint="eastAsia"/>
          <w:sz w:val="20"/>
          <w:lang w:eastAsia="zh-CN"/>
        </w:rPr>
        <w:t>the positioning performance</w:t>
      </w:r>
      <w:r>
        <w:rPr>
          <w:sz w:val="20"/>
        </w:rPr>
        <w:t xml:space="preserve">. </w:t>
      </w:r>
      <w:r>
        <w:rPr>
          <w:rFonts w:hint="eastAsia"/>
          <w:sz w:val="20"/>
          <w:lang w:eastAsia="zh-CN"/>
        </w:rPr>
        <w:t>Taking this into consideration, i</w:t>
      </w:r>
      <w:r>
        <w:rPr>
          <w:sz w:val="20"/>
        </w:rPr>
        <w:t xml:space="preserve">t </w:t>
      </w:r>
      <w:r>
        <w:rPr>
          <w:rFonts w:hint="eastAsia"/>
          <w:sz w:val="20"/>
          <w:lang w:eastAsia="zh-CN"/>
        </w:rPr>
        <w:t>would be beneficial if</w:t>
      </w:r>
      <w:r>
        <w:rPr>
          <w:sz w:val="20"/>
        </w:rPr>
        <w:t xml:space="preserve"> network suggests an initial</w:t>
      </w:r>
      <w:r>
        <w:rPr>
          <w:rFonts w:hint="eastAsia"/>
          <w:sz w:val="20"/>
          <w:lang w:eastAsia="zh-CN"/>
        </w:rPr>
        <w:t xml:space="preserve"> </w:t>
      </w:r>
      <w:r>
        <w:rPr>
          <w:sz w:val="20"/>
        </w:rPr>
        <w:t xml:space="preserve">location to determine the scope of integer N. </w:t>
      </w:r>
      <w:r>
        <w:rPr>
          <w:rFonts w:hint="eastAsia"/>
          <w:sz w:val="20"/>
          <w:lang w:eastAsia="zh-CN"/>
        </w:rPr>
        <w:t>For UE-based or NG-RAN node assisted positioning, if LMF can get UE</w:t>
      </w:r>
      <w:r>
        <w:rPr>
          <w:sz w:val="20"/>
          <w:lang w:eastAsia="zh-CN"/>
        </w:rPr>
        <w:t>’</w:t>
      </w:r>
      <w:r>
        <w:rPr>
          <w:rFonts w:hint="eastAsia"/>
          <w:sz w:val="20"/>
          <w:lang w:eastAsia="zh-CN"/>
        </w:rPr>
        <w:t>s rough location, a proper range of N values can be informed to UE, further improve the positioning performance.</w:t>
      </w:r>
      <w:r>
        <w:rPr>
          <w:sz w:val="20"/>
        </w:rPr>
        <w:t xml:space="preserve"> </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the integer ambiguity problem,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 in 3GPP TSG RAN WG1#112[1]:</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sz w:val="20"/>
                <w:szCs w:val="20"/>
              </w:rPr>
            </w:pPr>
            <w:r>
              <w:rPr>
                <w:rFonts w:ascii="Times New Roman" w:hAnsi="Times New Roman"/>
                <w:bCs/>
                <w:sz w:val="20"/>
                <w:szCs w:val="20"/>
              </w:rPr>
              <w:t>To support NR carrier phase positioning, further consider the following</w:t>
            </w:r>
            <w:r>
              <w:rPr>
                <w:rFonts w:ascii="Times New Roman" w:hAnsi="Times New Roman"/>
                <w:sz w:val="20"/>
                <w:szCs w:val="20"/>
              </w:rPr>
              <w:t xml:space="preserve"> options:</w:t>
            </w:r>
          </w:p>
          <w:p>
            <w:pPr>
              <w:pStyle w:val="84"/>
              <w:numPr>
                <w:ilvl w:val="0"/>
                <w:numId w:val="5"/>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1: Support a UE/TRP to report the carrier phase measurements of more than one frequency within a PFL/carrier to LMF</w:t>
            </w:r>
          </w:p>
          <w:p>
            <w:pPr>
              <w:pStyle w:val="79"/>
              <w:numPr>
                <w:ilvl w:val="1"/>
                <w:numId w:val="5"/>
              </w:numPr>
              <w:adjustRightInd w:val="0"/>
              <w:snapToGrid w:val="0"/>
              <w:spacing w:afterLines="50"/>
            </w:pPr>
            <w:r>
              <w:t>NOTE: the frequency can be the carrier frequency or the frequency of a subcarrier</w:t>
            </w:r>
          </w:p>
          <w:p>
            <w:pPr>
              <w:pStyle w:val="79"/>
              <w:numPr>
                <w:ilvl w:val="1"/>
                <w:numId w:val="5"/>
              </w:numPr>
              <w:adjustRightInd w:val="0"/>
              <w:snapToGrid w:val="0"/>
              <w:spacing w:afterLines="50"/>
            </w:pPr>
            <w:r>
              <w:t>FFS: the details of reporting, e.g., the maximum number of reported frequencies within a PFL/ carrier</w:t>
            </w:r>
          </w:p>
          <w:p>
            <w:pPr>
              <w:pStyle w:val="84"/>
              <w:numPr>
                <w:ilvl w:val="0"/>
                <w:numId w:val="5"/>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2: Introduce and report a</w:t>
            </w:r>
            <w:r>
              <w:rPr>
                <w:rFonts w:ascii="Times New Roman" w:hAnsi="Times New Roman" w:eastAsia="Batang"/>
                <w:sz w:val="20"/>
                <w:szCs w:val="20"/>
              </w:rPr>
              <w:t xml:space="preserve"> new type of UE/TRP </w:t>
            </w:r>
            <w:r>
              <w:rPr>
                <w:rFonts w:ascii="Times New Roman" w:hAnsi="Times New Roman"/>
                <w:sz w:val="20"/>
                <w:szCs w:val="20"/>
              </w:rPr>
              <w:t>measurement</w:t>
            </w:r>
            <w:r>
              <w:rPr>
                <w:rFonts w:ascii="Times New Roman" w:hAnsi="Times New Roman" w:eastAsia="Batang"/>
                <w:sz w:val="20"/>
                <w:szCs w:val="20"/>
              </w:rPr>
              <w:t xml:space="preserve"> based on carrier phase differentials across multiple subcarriers within a PFL/carrier</w:t>
            </w:r>
          </w:p>
          <w:p>
            <w:pPr>
              <w:pStyle w:val="79"/>
              <w:numPr>
                <w:ilvl w:val="1"/>
                <w:numId w:val="5"/>
              </w:numPr>
              <w:adjustRightInd w:val="0"/>
              <w:snapToGrid w:val="0"/>
              <w:spacing w:afterLines="50"/>
            </w:pPr>
            <w:r>
              <w:t xml:space="preserve">NOTE: </w:t>
            </w:r>
            <w:r>
              <w:rPr>
                <w:rFonts w:eastAsia="Batang"/>
              </w:rPr>
              <w:t>carrier</w:t>
            </w:r>
            <w:r>
              <w:t xml:space="preserve"> phase differentials across multiple subcarriers within a carrier can be related to time of arrival</w:t>
            </w:r>
          </w:p>
          <w:p>
            <w:pPr>
              <w:pStyle w:val="84"/>
              <w:numPr>
                <w:ilvl w:val="0"/>
                <w:numId w:val="5"/>
              </w:numPr>
              <w:adjustRightInd w:val="0"/>
              <w:snapToGrid w:val="0"/>
              <w:spacing w:after="180" w:afterLines="50" w:line="240" w:lineRule="auto"/>
              <w:rPr>
                <w:rFonts w:ascii="Times New Roman" w:hAnsi="Times New Roman" w:eastAsia="Batang"/>
                <w:bCs/>
                <w:sz w:val="20"/>
                <w:szCs w:val="20"/>
              </w:rPr>
            </w:pPr>
            <w:r>
              <w:rPr>
                <w:rFonts w:ascii="Times New Roman" w:hAnsi="Times New Roman"/>
                <w:sz w:val="20"/>
                <w:szCs w:val="20"/>
              </w:rPr>
              <w:t xml:space="preserve">Option 3: Support a UE/TRP to optionally report an estimated </w:t>
            </w:r>
            <w:r>
              <w:rPr>
                <w:rFonts w:ascii="Times New Roman" w:hAnsi="Times New Roman" w:eastAsia="Batang"/>
                <w:bCs/>
                <w:sz w:val="20"/>
                <w:szCs w:val="20"/>
              </w:rPr>
              <w:t>integer ambiguity and/or search range of the integer ambiguity to LMF</w:t>
            </w:r>
            <w:r>
              <w:rPr>
                <w:rFonts w:hint="eastAsia" w:ascii="Times New Roman" w:hAnsi="Times New Roman" w:eastAsia="宋体"/>
                <w:bCs/>
                <w:sz w:val="20"/>
                <w:szCs w:val="20"/>
              </w:rPr>
              <w:t>.</w:t>
            </w:r>
          </w:p>
          <w:p>
            <w:pPr>
              <w:pStyle w:val="94"/>
              <w:numPr>
                <w:ilvl w:val="0"/>
                <w:numId w:val="5"/>
              </w:numPr>
              <w:snapToGrid w:val="0"/>
              <w:spacing w:afterLines="50" w:line="240" w:lineRule="auto"/>
            </w:pPr>
            <w:r>
              <w:rPr>
                <w:sz w:val="20"/>
              </w:rPr>
              <w:t>Option 4: Support LMF to provide the expected integer ambiguity range at least for UE-based NR CPP in the positioning assistance data.</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lang w:val="en-US" w:eastAsia="zh-CN"/>
        </w:rPr>
        <w:t>For option 3 and option 4</w:t>
      </w:r>
      <w:r>
        <w:rPr>
          <w:rFonts w:hint="eastAsia" w:ascii="Times New Roman" w:hAnsi="Times New Roman" w:eastAsia="宋体"/>
          <w:sz w:val="20"/>
          <w:szCs w:val="20"/>
        </w:rPr>
        <w:t>, we believe that option 4 is more feasible, the reasons are as follows</w:t>
      </w:r>
      <w:r>
        <w:rPr>
          <w:rFonts w:hint="eastAsia" w:ascii="Times New Roman" w:hAnsi="Times New Roman" w:eastAsia="宋体"/>
          <w:sz w:val="20"/>
          <w:szCs w:val="20"/>
          <w:lang w:val="en-US" w:eastAsia="zh-CN"/>
        </w:rPr>
        <w:t>. T</w:t>
      </w:r>
      <w:r>
        <w:rPr>
          <w:rFonts w:hint="eastAsia" w:ascii="Times New Roman" w:hAnsi="Times New Roman" w:eastAsia="宋体"/>
          <w:sz w:val="20"/>
          <w:szCs w:val="20"/>
        </w:rPr>
        <w:t xml:space="preserve">here is no strong demand for UE/TRP to report the estimated integer ambiguity in LMF-based NR </w:t>
      </w:r>
      <w:r>
        <w:rPr>
          <w:rFonts w:hint="eastAsia" w:ascii="Times New Roman" w:hAnsi="Times New Roman" w:eastAsia="宋体"/>
          <w:sz w:val="20"/>
          <w:szCs w:val="20"/>
          <w:lang w:val="en-US" w:eastAsia="zh-CN"/>
        </w:rPr>
        <w:t>carrier phase positioning</w:t>
      </w:r>
      <w:r>
        <w:rPr>
          <w:rFonts w:hint="eastAsia" w:ascii="Times New Roman" w:hAnsi="Times New Roman" w:eastAsia="宋体"/>
          <w:sz w:val="20"/>
          <w:szCs w:val="20"/>
        </w:rPr>
        <w:t>, because LMF usually has more location information or measurement results than UE/TRP. LMF holds all the measurement results that UE/TRP reported, not only from the target UE, and LMF can estimate/calculate a more reasonable integer ambiguity for the target UE.</w:t>
      </w:r>
    </w:p>
    <w:p>
      <w:pPr>
        <w:pStyle w:val="94"/>
        <w:snapToGrid w:val="0"/>
        <w:spacing w:before="180" w:beforeLines="50" w:afterLines="50" w:line="240" w:lineRule="auto"/>
        <w:ind w:left="0"/>
        <w:jc w:val="both"/>
        <w:rPr>
          <w:sz w:val="20"/>
        </w:rPr>
      </w:pPr>
      <w:r>
        <w:rPr>
          <w:rFonts w:hint="eastAsia"/>
          <w:sz w:val="20"/>
          <w:lang w:eastAsia="zh-CN"/>
        </w:rPr>
        <w:t xml:space="preserve">Therefore, option 4 is our first preference. If there are other benefits proposed concerning UE/TRP report the estimated integer ambiguity, option 3 can also be supported as a compromise. </w:t>
      </w:r>
      <w:r>
        <w:rPr>
          <w:sz w:val="20"/>
        </w:rPr>
        <w:t>Hence, we have the following proposal.</w:t>
      </w:r>
    </w:p>
    <w:p>
      <w:pPr>
        <w:pStyle w:val="13"/>
        <w:adjustRightInd w:val="0"/>
        <w:snapToGrid w:val="0"/>
        <w:spacing w:before="180" w:beforeLines="50" w:after="180" w:afterLines="50"/>
        <w:jc w:val="both"/>
        <w:rPr>
          <w:i/>
          <w:iCs/>
        </w:rPr>
      </w:pPr>
      <w:bookmarkStart w:id="6" w:name="_Ref1279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r>
        <w:rPr>
          <w:rFonts w:hint="eastAsia"/>
          <w:i/>
          <w:iCs/>
          <w:lang w:val="en-US" w:eastAsia="zh-CN"/>
        </w:rPr>
        <w:t xml:space="preserve">For signalling concerning the integer ambiguity, at least support LMF providing the range </w:t>
      </w:r>
      <w:r>
        <w:rPr>
          <w:i/>
          <w:iCs/>
        </w:rPr>
        <w:t xml:space="preserve">of integer </w:t>
      </w:r>
      <w:r>
        <w:rPr>
          <w:rFonts w:hint="eastAsia"/>
          <w:i/>
          <w:iCs/>
          <w:lang w:val="en-US" w:eastAsia="zh-CN"/>
        </w:rPr>
        <w:t xml:space="preserve">to UE </w:t>
      </w:r>
      <w:r>
        <w:rPr>
          <w:i/>
          <w:iCs/>
        </w:rPr>
        <w:t>for UE</w:t>
      </w:r>
      <w:r>
        <w:rPr>
          <w:rFonts w:hint="eastAsia"/>
          <w:i/>
          <w:iCs/>
          <w:lang w:val="en-US" w:eastAsia="zh-CN"/>
        </w:rPr>
        <w:t>-</w:t>
      </w:r>
      <w:r>
        <w:rPr>
          <w:i/>
          <w:iCs/>
        </w:rPr>
        <w:t xml:space="preserve">based </w:t>
      </w:r>
      <w:r>
        <w:rPr>
          <w:rFonts w:hint="eastAsia"/>
          <w:i/>
          <w:iCs/>
          <w:lang w:val="en-US" w:eastAsia="zh-CN"/>
        </w:rPr>
        <w:t xml:space="preserve">NR </w:t>
      </w:r>
      <w:r>
        <w:rPr>
          <w:i/>
          <w:iCs/>
        </w:rPr>
        <w:t>carrier phase positioning.</w:t>
      </w:r>
      <w:bookmarkEnd w:id="6"/>
    </w:p>
    <w:p>
      <w:pPr>
        <w:pStyle w:val="4"/>
        <w:numPr>
          <w:ilvl w:val="1"/>
          <w:numId w:val="0"/>
        </w:numPr>
        <w:ind w:left="220" w:leftChars="100"/>
        <w:rPr>
          <w:lang w:val="en-US"/>
        </w:rPr>
      </w:pPr>
      <w:r>
        <w:rPr>
          <w:rFonts w:hint="eastAsia"/>
          <w:lang w:val="en-US"/>
        </w:rPr>
        <w:t>2.1.2 Carrier phase report</w:t>
      </w:r>
    </w:p>
    <w:p>
      <w:pPr>
        <w:pStyle w:val="94"/>
        <w:snapToGrid w:val="0"/>
        <w:spacing w:before="180" w:beforeLines="50" w:afterLines="50" w:line="240" w:lineRule="auto"/>
        <w:ind w:left="0"/>
        <w:jc w:val="both"/>
        <w:rPr>
          <w:b/>
          <w:i/>
          <w:sz w:val="20"/>
        </w:rPr>
      </w:pPr>
      <w:r>
        <w:rPr>
          <w:rFonts w:hint="eastAsia"/>
          <w:sz w:val="20"/>
        </w:rPr>
        <w:t xml:space="preserve">For </w:t>
      </w:r>
      <w:r>
        <w:rPr>
          <w:rFonts w:eastAsia="MS Mincho"/>
          <w:sz w:val="20"/>
          <w:lang w:eastAsia="ko-KR"/>
        </w:rPr>
        <w:t>NG-RAN node</w:t>
      </w:r>
      <w:r>
        <w:rPr>
          <w:rFonts w:hint="eastAsia"/>
          <w:sz w:val="20"/>
          <w:lang w:eastAsia="zh-CN"/>
        </w:rPr>
        <w:t xml:space="preserve">-assisted or </w:t>
      </w:r>
      <w:r>
        <w:rPr>
          <w:rFonts w:hint="eastAsia"/>
          <w:sz w:val="20"/>
        </w:rPr>
        <w:t>UE-</w:t>
      </w:r>
      <w:r>
        <w:rPr>
          <w:rFonts w:hint="eastAsia"/>
          <w:sz w:val="20"/>
          <w:lang w:eastAsia="zh-CN"/>
        </w:rPr>
        <w:t>assisted</w:t>
      </w:r>
      <w:r>
        <w:rPr>
          <w:rFonts w:hint="eastAsia"/>
          <w:sz w:val="20"/>
        </w:rPr>
        <w:t xml:space="preserve"> carrier phase positioning, TRP/UE should measure and report the carrier phase </w:t>
      </w:r>
      <w:r>
        <w:rPr>
          <w:sz w:val="20"/>
        </w:rPr>
        <w:t>based on</w:t>
      </w:r>
      <w:r>
        <w:rPr>
          <w:rFonts w:hint="eastAsia"/>
          <w:sz w:val="20"/>
        </w:rPr>
        <w:t xml:space="preserve"> the received SRS/PRS, to get the fraction part of the carrier phase. </w:t>
      </w:r>
      <w:r>
        <w:rPr>
          <w:sz w:val="20"/>
        </w:rPr>
        <w:t>As aforementioned, the existing positioning method, e.g. TDOA can help UE or LMF determine the integer part search range with affordable compl</w:t>
      </w:r>
      <w:r>
        <w:rPr>
          <w:rFonts w:hint="eastAsia"/>
          <w:sz w:val="20"/>
        </w:rPr>
        <w:t xml:space="preserve">exity, </w:t>
      </w:r>
      <w:bookmarkStart w:id="7" w:name="_Ref12046"/>
      <w:r>
        <w:rPr>
          <w:rFonts w:hint="eastAsia"/>
          <w:sz w:val="20"/>
          <w:lang w:eastAsia="zh-CN"/>
        </w:rPr>
        <w:t>therefore, carrier p</w:t>
      </w:r>
      <w:r>
        <w:rPr>
          <w:rFonts w:hint="eastAsia"/>
          <w:sz w:val="20"/>
        </w:rPr>
        <w:t xml:space="preserve">hase measurement and report should be </w:t>
      </w:r>
      <w:r>
        <w:rPr>
          <w:rFonts w:hint="eastAsia"/>
          <w:sz w:val="20"/>
          <w:lang w:eastAsia="zh-CN"/>
        </w:rPr>
        <w:t xml:space="preserve">performed </w:t>
      </w:r>
      <w:r>
        <w:rPr>
          <w:rFonts w:hint="eastAsia"/>
          <w:sz w:val="20"/>
        </w:rPr>
        <w:t>together with existing positioning method for UE-assisted and N</w:t>
      </w:r>
      <w:r>
        <w:rPr>
          <w:rFonts w:hint="eastAsia"/>
          <w:sz w:val="20"/>
          <w:lang w:eastAsia="zh-CN"/>
        </w:rPr>
        <w:t>G</w:t>
      </w:r>
      <w:r>
        <w:rPr>
          <w:rFonts w:hint="eastAsia"/>
          <w:sz w:val="20"/>
        </w:rPr>
        <w:t>-RAN node assisted positioning.</w:t>
      </w:r>
      <w:bookmarkEnd w:id="7"/>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the carrier phase report problem, </w:t>
      </w:r>
      <w:r>
        <w:rPr>
          <w:rFonts w:ascii="Times New Roman" w:hAnsi="Times New Roman" w:eastAsia="宋体"/>
          <w:sz w:val="20"/>
          <w:szCs w:val="20"/>
        </w:rPr>
        <w:t xml:space="preserve">the following </w:t>
      </w:r>
      <w:r>
        <w:rPr>
          <w:rFonts w:hint="eastAsia" w:ascii="Times New Roman" w:hAnsi="Times New Roman" w:eastAsia="宋体"/>
          <w:sz w:val="20"/>
          <w:szCs w:val="20"/>
        </w:rPr>
        <w:t>agreement was achieved in 3GPP TSG RAN WG1#112[1]:</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sz w:val="20"/>
                <w:szCs w:val="20"/>
              </w:rPr>
            </w:pPr>
            <w:r>
              <w:rPr>
                <w:rFonts w:ascii="Times New Roman" w:hAnsi="Times New Roman"/>
                <w:bCs/>
                <w:sz w:val="20"/>
                <w:szCs w:val="20"/>
              </w:rPr>
              <w:t>For NR carrier phase positioning, at least support the following</w:t>
            </w:r>
            <w:r>
              <w:rPr>
                <w:rFonts w:ascii="Times New Roman" w:hAnsi="Times New Roman"/>
                <w:sz w:val="20"/>
                <w:szCs w:val="20"/>
              </w:rPr>
              <w:t xml:space="preserve"> approach: </w:t>
            </w:r>
          </w:p>
          <w:p>
            <w:pPr>
              <w:pStyle w:val="94"/>
              <w:numPr>
                <w:ilvl w:val="0"/>
                <w:numId w:val="4"/>
              </w:numPr>
              <w:snapToGrid w:val="0"/>
              <w:spacing w:afterLines="50" w:line="240" w:lineRule="auto"/>
              <w:jc w:val="both"/>
              <w:rPr>
                <w:bCs/>
                <w:sz w:val="20"/>
              </w:rPr>
            </w:pPr>
            <w:r>
              <w:rPr>
                <w:sz w:val="20"/>
              </w:rPr>
              <w:t xml:space="preserve">enable a UE/TRP to report </w:t>
            </w:r>
            <w:r>
              <w:rPr>
                <w:bCs/>
                <w:sz w:val="20"/>
              </w:rPr>
              <w:t>carrier phase measurements together with the legacy positioning measurements to LMF</w:t>
            </w:r>
          </w:p>
          <w:p>
            <w:pPr>
              <w:pStyle w:val="94"/>
              <w:numPr>
                <w:ilvl w:val="1"/>
                <w:numId w:val="3"/>
              </w:numPr>
              <w:snapToGrid w:val="0"/>
              <w:spacing w:afterLines="50" w:line="240" w:lineRule="auto"/>
            </w:pPr>
            <w:r>
              <w:rPr>
                <w:iCs/>
                <w:sz w:val="20"/>
              </w:rPr>
              <w:t xml:space="preserve">FFS: </w:t>
            </w:r>
            <w:r>
              <w:rPr>
                <w:sz w:val="20"/>
              </w:rPr>
              <w:t xml:space="preserve">which </w:t>
            </w:r>
            <w:r>
              <w:rPr>
                <w:bCs/>
                <w:sz w:val="20"/>
              </w:rPr>
              <w:t>legacy positioning measurements among RSTD, RTOA, UE Rx-Tx time difference measurements, gNB Rx-Tx time difference measurements</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Among the four listed legacy positioning methods, it is feasible for UE/TRP to report the carrier phase measurements together with the measurements of RSTD and TDOA. Detailed reasons are listed as follows:</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sz w:val="20"/>
          <w:szCs w:val="20"/>
          <w:u w:val="single"/>
        </w:rPr>
        <w:t>Lack of evaluation results on RTT</w:t>
      </w:r>
      <w:r>
        <w:rPr>
          <w:rFonts w:hint="eastAsia" w:ascii="Times New Roman" w:hAnsi="Times New Roman" w:eastAsia="宋体"/>
          <w:sz w:val="20"/>
          <w:szCs w:val="20"/>
        </w:rPr>
        <w:t>: The simulation results provided in the proposals (submitted by different companies) during the SID stage concentrate more on RSTD and RTOA. RTT requires both the transmission of SRS and reception of PRS from UE perspective, some of the possible error sources are different from that of RSTD or RTOA. Therefore, it</w:t>
      </w:r>
      <w:r>
        <w:rPr>
          <w:rFonts w:ascii="Times New Roman" w:hAnsi="Times New Roman" w:eastAsia="宋体"/>
          <w:sz w:val="20"/>
          <w:szCs w:val="20"/>
        </w:rPr>
        <w:t>’</w:t>
      </w:r>
      <w:r>
        <w:rPr>
          <w:rFonts w:hint="eastAsia" w:ascii="Times New Roman" w:hAnsi="Times New Roman" w:eastAsia="宋体"/>
          <w:sz w:val="20"/>
          <w:szCs w:val="20"/>
        </w:rPr>
        <w:t xml:space="preserve">s difficult to infer the positioning accuracy of RTT from existing simulation results. Extensive simulation results should be provided if there is strong </w:t>
      </w:r>
      <w:r>
        <w:rPr>
          <w:rFonts w:hint="eastAsia" w:ascii="Times New Roman" w:hAnsi="Times New Roman" w:eastAsia="宋体"/>
          <w:sz w:val="20"/>
          <w:szCs w:val="20"/>
          <w:lang w:val="en-US" w:eastAsia="zh-CN"/>
        </w:rPr>
        <w:t xml:space="preserve">interest </w:t>
      </w:r>
      <w:r>
        <w:rPr>
          <w:rFonts w:hint="eastAsia" w:ascii="Times New Roman" w:hAnsi="Times New Roman" w:eastAsia="宋体"/>
          <w:sz w:val="20"/>
          <w:szCs w:val="20"/>
        </w:rPr>
        <w:t>on the support of RTT.</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
          <w:bCs/>
          <w:sz w:val="20"/>
          <w:szCs w:val="20"/>
          <w:u w:val="single"/>
        </w:rPr>
        <w:t>Indelible possible error sources of RTT</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Similar as TDOA</w:t>
      </w:r>
      <w:r>
        <w:rPr>
          <w:rFonts w:hint="eastAsia" w:ascii="Times New Roman" w:hAnsi="Times New Roman" w:eastAsia="宋体"/>
          <w:sz w:val="20"/>
          <w:szCs w:val="20"/>
        </w:rPr>
        <w:t xml:space="preserve"> positioning procedure, a UE has to receive DL PRS and transmit UL SRS. The errors (include timing error, ARP error and phase error, etc) in DL PRS reception/UL SRS transmission process </w:t>
      </w:r>
      <w:r>
        <w:rPr>
          <w:rFonts w:hint="eastAsia" w:ascii="Times New Roman" w:hAnsi="Times New Roman" w:eastAsia="宋体"/>
          <w:sz w:val="20"/>
          <w:szCs w:val="20"/>
          <w:lang w:val="en-US" w:eastAsia="zh-CN"/>
        </w:rPr>
        <w:t>should be evaluated first</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 xml:space="preserve">to prove that these errors can be reduced or eliminated with the help of PRU, </w:t>
      </w:r>
      <w:r>
        <w:rPr>
          <w:rFonts w:hint="eastAsia" w:ascii="Times New Roman" w:hAnsi="Times New Roman" w:eastAsia="宋体"/>
          <w:sz w:val="20"/>
          <w:szCs w:val="20"/>
        </w:rPr>
        <w:t>especially if s</w:t>
      </w:r>
      <w:r>
        <w:rPr>
          <w:rFonts w:ascii="Times New Roman" w:hAnsi="Times New Roman" w:eastAsia="MS Mincho"/>
          <w:bCs/>
          <w:sz w:val="20"/>
          <w:szCs w:val="24"/>
        </w:rPr>
        <w:t>imultaneous measurements/transmissions</w:t>
      </w:r>
      <w:r>
        <w:rPr>
          <w:rFonts w:hint="eastAsia" w:ascii="Times New Roman" w:hAnsi="Times New Roman" w:eastAsia="MS Mincho"/>
          <w:bCs/>
          <w:sz w:val="20"/>
          <w:szCs w:val="24"/>
        </w:rPr>
        <w:t xml:space="preserve"> </w:t>
      </w:r>
      <w:r>
        <w:rPr>
          <w:rFonts w:ascii="Times New Roman" w:hAnsi="Times New Roman" w:eastAsia="MS Mincho"/>
          <w:bCs/>
          <w:sz w:val="20"/>
          <w:szCs w:val="24"/>
        </w:rPr>
        <w:t xml:space="preserve">for </w:t>
      </w:r>
      <w:r>
        <w:rPr>
          <w:rFonts w:hint="eastAsia" w:ascii="Times New Roman" w:hAnsi="Times New Roman" w:eastAsia="MS Mincho"/>
          <w:bCs/>
          <w:sz w:val="20"/>
          <w:szCs w:val="24"/>
        </w:rPr>
        <w:t>PRU and UE is enabled</w:t>
      </w:r>
      <w:r>
        <w:rPr>
          <w:rFonts w:hint="eastAsia" w:ascii="Times New Roman" w:hAnsi="Times New Roman" w:eastAsia="宋体"/>
          <w:sz w:val="20"/>
          <w:szCs w:val="20"/>
        </w:rPr>
        <w:t xml:space="preserve">. </w:t>
      </w:r>
      <w:r>
        <w:rPr>
          <w:rFonts w:hint="eastAsia" w:ascii="Times New Roman" w:hAnsi="Times New Roman" w:eastAsia="宋体"/>
          <w:sz w:val="20"/>
          <w:szCs w:val="20"/>
          <w:lang w:val="en-US" w:eastAsia="zh-CN"/>
        </w:rPr>
        <w:t xml:space="preserve">However, </w:t>
      </w:r>
      <w:r>
        <w:rPr>
          <w:rFonts w:hint="eastAsia" w:ascii="Times New Roman" w:hAnsi="Times New Roman" w:eastAsia="宋体"/>
          <w:sz w:val="20"/>
          <w:szCs w:val="20"/>
        </w:rPr>
        <w:t>the UE/gNB Rx-Tx phase difference error cannot be eliminated with current techniques. The performance of combining RTT and carrier phase positioning is unknown.</w:t>
      </w:r>
    </w:p>
    <w:p>
      <w:pPr>
        <w:pStyle w:val="94"/>
        <w:snapToGrid w:val="0"/>
        <w:spacing w:before="180" w:beforeLines="50" w:afterLines="50" w:line="240" w:lineRule="auto"/>
        <w:ind w:left="0"/>
        <w:jc w:val="both"/>
        <w:rPr>
          <w:sz w:val="20"/>
          <w:lang w:eastAsia="zh-CN"/>
        </w:rPr>
      </w:pPr>
      <w:r>
        <w:rPr>
          <w:sz w:val="20"/>
        </w:rPr>
        <w:t>Hence, we have the following proposal</w:t>
      </w:r>
      <w:r>
        <w:rPr>
          <w:rFonts w:hint="eastAsia"/>
          <w:sz w:val="20"/>
          <w:lang w:eastAsia="zh-CN"/>
        </w:rPr>
        <w:t>:</w:t>
      </w:r>
    </w:p>
    <w:p>
      <w:pPr>
        <w:pStyle w:val="13"/>
        <w:snapToGrid w:val="0"/>
        <w:spacing w:before="180" w:beforeLines="50" w:after="180" w:afterLines="50"/>
        <w:jc w:val="both"/>
        <w:rPr>
          <w:i/>
          <w:iCs/>
          <w:lang w:val="en-US"/>
        </w:rPr>
      </w:pPr>
      <w:bookmarkStart w:id="8" w:name="_Ref32642"/>
      <w:r>
        <w:rPr>
          <w:i/>
        </w:rPr>
        <w:t xml:space="preserve">Proposal </w:t>
      </w:r>
      <w:r>
        <w:rPr>
          <w:i/>
        </w:rPr>
        <w:fldChar w:fldCharType="begin"/>
      </w:r>
      <w:r>
        <w:rPr>
          <w:i/>
        </w:rPr>
        <w:instrText xml:space="preserve"> SEQ Proposal \* ARABIC </w:instrText>
      </w:r>
      <w:r>
        <w:rPr>
          <w:i/>
        </w:rPr>
        <w:fldChar w:fldCharType="separate"/>
      </w:r>
      <w:r>
        <w:rPr>
          <w:i/>
        </w:rPr>
        <w:t>2</w:t>
      </w:r>
      <w:r>
        <w:rPr>
          <w:i/>
        </w:rPr>
        <w:fldChar w:fldCharType="end"/>
      </w:r>
      <w:r>
        <w:rPr>
          <w:rFonts w:hint="eastAsia"/>
          <w:i/>
        </w:rPr>
        <w:t>:</w:t>
      </w:r>
      <w:r>
        <w:rPr>
          <w:i/>
        </w:rPr>
        <w:t xml:space="preserve"> </w:t>
      </w:r>
      <w:r>
        <w:rPr>
          <w:rFonts w:hint="eastAsia"/>
          <w:i/>
          <w:iCs/>
          <w:lang w:val="en-US" w:eastAsia="zh-CN"/>
        </w:rPr>
        <w:t>Support UE/TRP reporting carrier phase measurements together with the RSTD and/or RTOA measurements to LMF.</w:t>
      </w:r>
      <w:bookmarkEnd w:id="8"/>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general, there might be multi-PRS transmitted between the same TRP and </w:t>
      </w:r>
      <w:r>
        <w:rPr>
          <w:rFonts w:hint="eastAsia" w:ascii="Times New Roman" w:hAnsi="Times New Roman"/>
          <w:sz w:val="20"/>
          <w:szCs w:val="20"/>
        </w:rPr>
        <w:t>UE</w:t>
      </w:r>
      <w:r>
        <w:rPr>
          <w:rFonts w:ascii="Times New Roman" w:hAnsi="Times New Roman"/>
          <w:sz w:val="20"/>
          <w:szCs w:val="20"/>
        </w:rPr>
        <w:t xml:space="preserve"> pair with </w:t>
      </w:r>
      <w:r>
        <w:rPr>
          <w:rFonts w:hint="eastAsia" w:ascii="Times New Roman" w:hAnsi="Times New Roman"/>
          <w:sz w:val="20"/>
          <w:szCs w:val="20"/>
        </w:rPr>
        <w:t xml:space="preserve">same or </w:t>
      </w:r>
      <w:r>
        <w:rPr>
          <w:rFonts w:ascii="Times New Roman" w:hAnsi="Times New Roman"/>
          <w:sz w:val="20"/>
          <w:szCs w:val="20"/>
        </w:rPr>
        <w:t xml:space="preserve">different </w:t>
      </w:r>
      <w:r>
        <w:rPr>
          <w:rFonts w:hint="eastAsia" w:ascii="Times New Roman" w:hAnsi="Times New Roman"/>
          <w:sz w:val="20"/>
          <w:szCs w:val="20"/>
        </w:rPr>
        <w:t>PFL/</w:t>
      </w:r>
      <w:r>
        <w:rPr>
          <w:rFonts w:ascii="Times New Roman" w:hAnsi="Times New Roman"/>
          <w:sz w:val="20"/>
          <w:szCs w:val="20"/>
        </w:rPr>
        <w:t>carriers in a positioning process</w:t>
      </w:r>
      <w:r>
        <w:rPr>
          <w:rFonts w:hint="eastAsia" w:ascii="Times New Roman" w:hAnsi="Times New Roman"/>
          <w:sz w:val="20"/>
          <w:szCs w:val="20"/>
        </w:rPr>
        <w:t>, and t</w:t>
      </w:r>
      <w:r>
        <w:rPr>
          <w:rFonts w:ascii="Times New Roman" w:hAnsi="Times New Roman"/>
          <w:sz w:val="20"/>
          <w:szCs w:val="20"/>
        </w:rPr>
        <w:t xml:space="preserve">he </w:t>
      </w:r>
      <w:r>
        <w:rPr>
          <w:rFonts w:hint="eastAsia" w:ascii="Times New Roman" w:hAnsi="Times New Roman"/>
          <w:sz w:val="20"/>
          <w:szCs w:val="20"/>
        </w:rPr>
        <w:t xml:space="preserve">measured </w:t>
      </w:r>
      <w:r>
        <w:rPr>
          <w:rFonts w:ascii="Times New Roman" w:hAnsi="Times New Roman"/>
          <w:sz w:val="20"/>
          <w:szCs w:val="20"/>
        </w:rPr>
        <w:t>carrier phase</w:t>
      </w:r>
      <w:r>
        <w:rPr>
          <w:rFonts w:hint="eastAsia" w:ascii="Times New Roman" w:hAnsi="Times New Roman"/>
          <w:sz w:val="20"/>
          <w:szCs w:val="20"/>
        </w:rPr>
        <w:t>s of these different (sub-)carriers</w:t>
      </w:r>
      <w:r>
        <w:rPr>
          <w:rFonts w:ascii="Times New Roman" w:hAnsi="Times New Roman"/>
          <w:sz w:val="20"/>
          <w:szCs w:val="20"/>
        </w:rPr>
        <w:t xml:space="preserve"> might be different</w:t>
      </w:r>
      <w:r>
        <w:rPr>
          <w:rFonts w:hint="eastAsia" w:ascii="Times New Roman" w:hAnsi="Times New Roman"/>
          <w:sz w:val="20"/>
          <w:szCs w:val="20"/>
        </w:rPr>
        <w:t>. The number of reported PRS carrier phase measurement, physical channel environment and PRS propagation multi-path could affect the accuracy of carrier phase evaluation. Taking these factors into consideration,  UE can report the uncertainty of phase measurement</w:t>
      </w:r>
      <w:r>
        <w:rPr>
          <w:rFonts w:hint="eastAsia" w:ascii="Times New Roman" w:hAnsi="Times New Roman"/>
          <w:sz w:val="20"/>
          <w:szCs w:val="20"/>
          <w:lang w:val="en-US" w:eastAsia="zh-CN"/>
        </w:rPr>
        <w:t xml:space="preserve"> and</w:t>
      </w:r>
      <w:r>
        <w:rPr>
          <w:rFonts w:hint="eastAsia" w:ascii="Times New Roman" w:hAnsi="Times New Roman"/>
          <w:sz w:val="20"/>
          <w:szCs w:val="20"/>
        </w:rPr>
        <w:t xml:space="preserve"> further provides the corresponding phase measurement quality or phase measurement confidence, which is similar to the existing timing measurement quality or angle measurement quality. </w:t>
      </w:r>
      <w:r>
        <w:rPr>
          <w:rFonts w:ascii="Times New Roman" w:hAnsi="Times New Roman"/>
          <w:sz w:val="20"/>
          <w:szCs w:val="20"/>
        </w:rPr>
        <w:t xml:space="preserve">Hence, we have the following </w:t>
      </w:r>
      <w:r>
        <w:rPr>
          <w:rFonts w:hint="eastAsia" w:ascii="Times New Roman" w:hAnsi="Times New Roman"/>
          <w:sz w:val="20"/>
          <w:szCs w:val="20"/>
        </w:rPr>
        <w:t>proposal:</w:t>
      </w:r>
    </w:p>
    <w:p>
      <w:pPr>
        <w:pStyle w:val="13"/>
        <w:snapToGrid w:val="0"/>
        <w:spacing w:before="180" w:beforeLines="50" w:after="180" w:afterLines="50"/>
        <w:jc w:val="both"/>
        <w:rPr>
          <w:i/>
          <w:iCs/>
        </w:rPr>
      </w:pPr>
      <w:bookmarkStart w:id="9" w:name="_Ref18399"/>
      <w:r>
        <w:rPr>
          <w:i/>
        </w:rPr>
        <w:t xml:space="preserve">Proposal </w:t>
      </w:r>
      <w:r>
        <w:rPr>
          <w:i/>
        </w:rPr>
        <w:fldChar w:fldCharType="begin"/>
      </w:r>
      <w:r>
        <w:rPr>
          <w:i/>
        </w:rPr>
        <w:instrText xml:space="preserve"> SEQ Proposal \* ARABIC </w:instrText>
      </w:r>
      <w:r>
        <w:rPr>
          <w:i/>
        </w:rPr>
        <w:fldChar w:fldCharType="separate"/>
      </w:r>
      <w:r>
        <w:rPr>
          <w:i/>
        </w:rPr>
        <w:t>3</w:t>
      </w:r>
      <w:r>
        <w:rPr>
          <w:i/>
        </w:rPr>
        <w:fldChar w:fldCharType="end"/>
      </w:r>
      <w:r>
        <w:rPr>
          <w:rFonts w:hint="eastAsia"/>
          <w:i/>
        </w:rPr>
        <w:t>:</w:t>
      </w:r>
      <w:r>
        <w:rPr>
          <w:i/>
        </w:rPr>
        <w:t xml:space="preserve"> </w:t>
      </w:r>
      <w:r>
        <w:rPr>
          <w:rFonts w:hint="eastAsia"/>
          <w:i/>
          <w:iCs/>
          <w:lang w:val="en-US" w:eastAsia="zh-CN"/>
        </w:rPr>
        <w:t>Support UE/TRP reporting the carrier phase measurement quality together with the phase measurement result</w:t>
      </w:r>
      <w:r>
        <w:rPr>
          <w:rFonts w:hint="eastAsia"/>
          <w:i/>
          <w:iCs/>
        </w:rPr>
        <w:t>.</w:t>
      </w:r>
      <w:bookmarkEnd w:id="9"/>
    </w:p>
    <w:p>
      <w:pPr>
        <w:pStyle w:val="3"/>
        <w:snapToGrid w:val="0"/>
        <w:spacing w:line="240" w:lineRule="auto"/>
        <w:rPr>
          <w:sz w:val="24"/>
          <w:szCs w:val="24"/>
        </w:rPr>
      </w:pPr>
      <w:r>
        <w:rPr>
          <w:rFonts w:hint="eastAsia"/>
          <w:sz w:val="24"/>
          <w:szCs w:val="24"/>
        </w:rPr>
        <w:t>Multi-path for carrier phase positioning</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last meeting, the following proposal was discussed but no consensus has reached:</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line="240" w:lineRule="auto"/>
              <w:jc w:val="both"/>
              <w:rPr>
                <w:rFonts w:ascii="Times New Roman" w:hAnsi="Times New Roman" w:eastAsia="Batang"/>
                <w:i/>
                <w:iCs/>
                <w:sz w:val="20"/>
                <w:szCs w:val="20"/>
                <w:lang w:val="en-CA"/>
              </w:rPr>
            </w:pPr>
            <w:r>
              <w:rPr>
                <w:rFonts w:ascii="Times New Roman" w:hAnsi="Times New Roman" w:eastAsia="Batang"/>
                <w:i/>
                <w:iCs/>
                <w:sz w:val="20"/>
                <w:szCs w:val="20"/>
                <w:lang w:val="en-CA"/>
              </w:rPr>
              <w:t xml:space="preserve">Select one of the following options for NR carrier phase positioning: </w:t>
            </w:r>
          </w:p>
          <w:p>
            <w:pPr>
              <w:pStyle w:val="94"/>
              <w:numPr>
                <w:ilvl w:val="0"/>
                <w:numId w:val="6"/>
              </w:numPr>
              <w:snapToGrid w:val="0"/>
              <w:spacing w:line="240" w:lineRule="auto"/>
              <w:jc w:val="both"/>
              <w:rPr>
                <w:rFonts w:eastAsia="Batang"/>
                <w:i/>
                <w:iCs/>
                <w:sz w:val="20"/>
                <w:lang w:val="en-CA"/>
              </w:rPr>
            </w:pPr>
            <w:r>
              <w:rPr>
                <w:rFonts w:eastAsia="Batang"/>
                <w:i/>
                <w:iCs/>
                <w:sz w:val="20"/>
                <w:lang w:val="en-CA"/>
              </w:rPr>
              <w:t xml:space="preserve">Option 1: </w:t>
            </w:r>
            <w:r>
              <w:rPr>
                <w:i/>
                <w:iCs/>
                <w:sz w:val="20"/>
              </w:rPr>
              <w:t>Report the carrier phase of the first path only</w:t>
            </w:r>
            <w:r>
              <w:rPr>
                <w:rFonts w:hint="eastAsia"/>
                <w:i/>
                <w:iCs/>
                <w:sz w:val="20"/>
                <w:lang w:eastAsia="zh-CN"/>
              </w:rPr>
              <w:t xml:space="preserve"> </w:t>
            </w:r>
          </w:p>
          <w:p>
            <w:pPr>
              <w:pStyle w:val="94"/>
              <w:numPr>
                <w:ilvl w:val="0"/>
                <w:numId w:val="6"/>
              </w:numPr>
              <w:snapToGrid w:val="0"/>
              <w:spacing w:line="240" w:lineRule="auto"/>
              <w:jc w:val="both"/>
            </w:pPr>
            <w:r>
              <w:rPr>
                <w:rFonts w:eastAsia="Batang"/>
                <w:i/>
                <w:iCs/>
                <w:sz w:val="20"/>
                <w:lang w:val="en-CA"/>
              </w:rPr>
              <w:t xml:space="preserve">Option 2: </w:t>
            </w:r>
            <w:r>
              <w:rPr>
                <w:i/>
                <w:iCs/>
                <w:sz w:val="20"/>
              </w:rPr>
              <w:t>Report the carrier phase of the first path, and optionally, the additional paths</w:t>
            </w:r>
          </w:p>
        </w:tc>
      </w:tr>
    </w:tbl>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_Ref18176 \h </w:instrText>
      </w:r>
      <w:r>
        <w:rPr>
          <w:rFonts w:ascii="Times New Roman" w:hAnsi="Times New Roman"/>
          <w:sz w:val="20"/>
          <w:szCs w:val="20"/>
        </w:rPr>
        <w:fldChar w:fldCharType="separate"/>
      </w:r>
      <w:r>
        <w:rPr>
          <w:rFonts w:ascii="Times New Roman" w:hAnsi="Times New Roman"/>
          <w:sz w:val="20"/>
          <w:szCs w:val="20"/>
        </w:rPr>
        <w:t>Figure 1</w:t>
      </w:r>
      <w:r>
        <w:rPr>
          <w:rFonts w:ascii="Times New Roman" w:hAnsi="Times New Roman"/>
          <w:sz w:val="20"/>
          <w:szCs w:val="20"/>
        </w:rPr>
        <w:fldChar w:fldCharType="end"/>
      </w:r>
      <w:r>
        <w:rPr>
          <w:rFonts w:ascii="Times New Roman" w:hAnsi="Times New Roman"/>
          <w:sz w:val="20"/>
          <w:szCs w:val="20"/>
        </w:rPr>
        <w:t>, the measured carrier phase on receiver side is related to the transmission path of the SRS/PRS</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C</w:t>
      </w:r>
      <w:r>
        <w:rPr>
          <w:rFonts w:ascii="Times New Roman" w:hAnsi="Times New Roman"/>
          <w:sz w:val="20"/>
          <w:szCs w:val="20"/>
        </w:rPr>
        <w:t xml:space="preserve">ompared to NLOS path, LOS path can reflect the distance relationship between the receiver and the transmitter more accurately. On the contrary, if </w:t>
      </w:r>
      <w:r>
        <w:rPr>
          <w:rFonts w:hint="eastAsia" w:ascii="Times New Roman" w:hAnsi="Times New Roman"/>
          <w:sz w:val="20"/>
          <w:szCs w:val="20"/>
        </w:rPr>
        <w:t>UE/TRP</w:t>
      </w:r>
      <w:r>
        <w:rPr>
          <w:rFonts w:ascii="Times New Roman" w:hAnsi="Times New Roman"/>
          <w:sz w:val="20"/>
          <w:szCs w:val="20"/>
        </w:rPr>
        <w:t xml:space="preserve"> measures the carrier phase of the received signal that is transmitted with NLOS path, the position of the target UE cannot be estimated with the measured carrier phase.</w:t>
      </w:r>
    </w:p>
    <w:p>
      <w:pPr>
        <w:adjustRightInd w:val="0"/>
        <w:snapToGrid w:val="0"/>
        <w:spacing w:before="180" w:beforeLines="50" w:after="180" w:afterLines="50" w:line="240" w:lineRule="auto"/>
        <w:jc w:val="center"/>
        <w:rPr>
          <w:rStyle w:val="33"/>
          <w:rFonts w:ascii="Times New Roman" w:hAnsi="Times New Roman"/>
          <w:sz w:val="20"/>
          <w:szCs w:val="20"/>
        </w:rPr>
      </w:pPr>
      <w:r>
        <w:rPr>
          <w:rFonts w:ascii="Times New Roman" w:hAnsi="Times New Roman"/>
          <w:sz w:val="20"/>
          <w:szCs w:val="20"/>
        </w:rPr>
        <w:drawing>
          <wp:inline distT="0" distB="0" distL="114300" distR="114300">
            <wp:extent cx="2301875" cy="1078230"/>
            <wp:effectExtent l="0" t="0" r="3175" b="762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7"/>
                    <a:stretch>
                      <a:fillRect/>
                    </a:stretch>
                  </pic:blipFill>
                  <pic:spPr>
                    <a:xfrm>
                      <a:off x="0" y="0"/>
                      <a:ext cx="2301875" cy="1078230"/>
                    </a:xfrm>
                    <a:prstGeom prst="rect">
                      <a:avLst/>
                    </a:prstGeom>
                    <a:noFill/>
                    <a:ln>
                      <a:noFill/>
                    </a:ln>
                  </pic:spPr>
                </pic:pic>
              </a:graphicData>
            </a:graphic>
          </wp:inline>
        </w:drawing>
      </w:r>
    </w:p>
    <w:p>
      <w:pPr>
        <w:pStyle w:val="13"/>
        <w:jc w:val="center"/>
      </w:pPr>
      <w:bookmarkStart w:id="10" w:name="_Ref18176"/>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bookmarkEnd w:id="10"/>
      <w:r>
        <w:rPr>
          <w:b w:val="0"/>
          <w:bCs w:val="0"/>
          <w:lang w:val="en-US" w:eastAsia="zh-CN"/>
        </w:rPr>
        <w:t xml:space="preserve">. Simple example for LOS/NOS propagation path </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Furthermore, reporting the carrier phase of the additional path will definitely increase the UE</w:t>
      </w:r>
      <w:r>
        <w:rPr>
          <w:rFonts w:ascii="Times New Roman" w:hAnsi="Times New Roman"/>
          <w:sz w:val="20"/>
          <w:szCs w:val="20"/>
        </w:rPr>
        <w:t>’</w:t>
      </w:r>
      <w:r>
        <w:rPr>
          <w:rFonts w:hint="eastAsia" w:ascii="Times New Roman" w:hAnsi="Times New Roman"/>
          <w:sz w:val="20"/>
          <w:szCs w:val="20"/>
        </w:rPr>
        <w:t>s measurement and report load, and even we get the phase of additional path, the benefits of this report are unknown for carrier phase positioning. Hence, we have the following proposal:</w:t>
      </w:r>
    </w:p>
    <w:p>
      <w:pPr>
        <w:pStyle w:val="13"/>
        <w:snapToGrid w:val="0"/>
        <w:spacing w:before="180" w:beforeLines="50" w:after="180" w:afterLines="50"/>
        <w:jc w:val="both"/>
        <w:rPr>
          <w:i/>
          <w:iCs/>
        </w:rPr>
      </w:pPr>
      <w:bookmarkStart w:id="11" w:name="_Ref18301"/>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rFonts w:hint="eastAsia"/>
          <w:i/>
        </w:rPr>
        <w:t>:</w:t>
      </w:r>
      <w:r>
        <w:rPr>
          <w:i/>
        </w:rPr>
        <w:t xml:space="preserve"> </w:t>
      </w:r>
      <w:r>
        <w:rPr>
          <w:rFonts w:hint="eastAsia"/>
          <w:i/>
          <w:iCs/>
          <w:lang w:val="en-US" w:eastAsia="zh-CN"/>
        </w:rPr>
        <w:t>Support UE/TRP reporting the carrier phase of the first path only at least for Rel-18.</w:t>
      </w:r>
      <w:bookmarkEnd w:id="11"/>
    </w:p>
    <w:p>
      <w:pPr>
        <w:pStyle w:val="3"/>
        <w:snapToGrid w:val="0"/>
        <w:spacing w:line="240" w:lineRule="auto"/>
        <w:rPr>
          <w:sz w:val="24"/>
          <w:szCs w:val="24"/>
        </w:rPr>
      </w:pPr>
      <w:r>
        <w:rPr>
          <w:rFonts w:hint="eastAsia"/>
          <w:sz w:val="24"/>
          <w:szCs w:val="24"/>
          <w:lang w:val="en-US"/>
        </w:rPr>
        <w:t>Enhancement on PRU assisted carrier phase positioning</w:t>
      </w:r>
    </w:p>
    <w:p>
      <w:pPr>
        <w:pStyle w:val="4"/>
        <w:numPr>
          <w:ilvl w:val="1"/>
          <w:numId w:val="0"/>
        </w:numPr>
        <w:ind w:left="220" w:leftChars="100"/>
      </w:pPr>
      <w:r>
        <w:rPr>
          <w:rFonts w:hint="eastAsia"/>
          <w:lang w:val="en-US"/>
        </w:rPr>
        <w:t>2</w:t>
      </w:r>
      <w:r>
        <w:rPr>
          <w:rFonts w:hint="eastAsia"/>
        </w:rPr>
        <w:t>.3.1</w:t>
      </w:r>
      <w:r>
        <w:rPr>
          <w:rFonts w:hint="eastAsia"/>
          <w:lang w:val="en-US"/>
        </w:rPr>
        <w:t xml:space="preserve"> </w:t>
      </w:r>
      <w:r>
        <w:rPr>
          <w:rFonts w:hint="eastAsia"/>
        </w:rPr>
        <w:t>Multiple sub-carrier phase measurement</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Our previous simulation</w:t>
      </w:r>
      <w:r>
        <w:rPr>
          <w:rFonts w:hint="eastAsia" w:ascii="Times New Roman" w:hAnsi="Times New Roman"/>
          <w:sz w:val="20"/>
          <w:szCs w:val="20"/>
          <w:lang w:val="en-US" w:eastAsia="zh-CN"/>
        </w:rPr>
        <w:t>s</w:t>
      </w:r>
      <w:r>
        <w:rPr>
          <w:rFonts w:ascii="Times New Roman" w:hAnsi="Times New Roman"/>
          <w:sz w:val="20"/>
          <w:szCs w:val="20"/>
        </w:rPr>
        <w:t xml:space="preserve"> show that there are multiple error sources, include ARP error, initial phase error, etc., may deteriorate the carrier phase positioning performance. To reduce the side effects of these errors on positioning performance, PRUs can help positioning system calibrate the carrier phase related errors. For a TRP, if the ARP or phase error corresponding to the same beam set remains unchanged, the explicit ARP error or carrier phase error can be evaluated with the help of one or more PRUs. A possible error calibration flow is shown in </w:t>
      </w:r>
      <w:r>
        <w:rPr>
          <w:rFonts w:ascii="Times New Roman" w:hAnsi="Times New Roman"/>
          <w:sz w:val="20"/>
          <w:szCs w:val="20"/>
        </w:rPr>
        <w:fldChar w:fldCharType="begin"/>
      </w:r>
      <w:r>
        <w:rPr>
          <w:rFonts w:ascii="Times New Roman" w:hAnsi="Times New Roman"/>
          <w:sz w:val="20"/>
          <w:szCs w:val="20"/>
        </w:rPr>
        <w:instrText xml:space="preserve"> REF _Ref7687 \h </w:instrText>
      </w:r>
      <w:r>
        <w:rPr>
          <w:rFonts w:ascii="Times New Roman" w:hAnsi="Times New Roman"/>
          <w:sz w:val="20"/>
          <w:szCs w:val="20"/>
        </w:rPr>
        <w:fldChar w:fldCharType="separate"/>
      </w:r>
      <w:r>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w:t>
      </w:r>
    </w:p>
    <w:p>
      <w:pPr>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106420" cy="1838960"/>
            <wp:effectExtent l="0" t="0" r="17780" b="889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a:srcRect r="24373"/>
                    <a:stretch>
                      <a:fillRect/>
                    </a:stretch>
                  </pic:blipFill>
                  <pic:spPr>
                    <a:xfrm>
                      <a:off x="0" y="0"/>
                      <a:ext cx="3106420" cy="1838960"/>
                    </a:xfrm>
                    <a:prstGeom prst="rect">
                      <a:avLst/>
                    </a:prstGeom>
                    <a:noFill/>
                    <a:ln>
                      <a:noFill/>
                    </a:ln>
                  </pic:spPr>
                </pic:pic>
              </a:graphicData>
            </a:graphic>
          </wp:inline>
        </w:drawing>
      </w:r>
    </w:p>
    <w:p>
      <w:pPr>
        <w:pStyle w:val="13"/>
        <w:adjustRightInd w:val="0"/>
        <w:snapToGrid w:val="0"/>
        <w:spacing w:before="180" w:beforeLines="50" w:after="180" w:afterLines="50"/>
        <w:jc w:val="center"/>
        <w:rPr>
          <w:b w:val="0"/>
          <w:bCs w:val="0"/>
          <w:lang w:val="en-US" w:eastAsia="zh-CN"/>
        </w:rPr>
      </w:pPr>
      <w:bookmarkStart w:id="12" w:name="_Ref7687"/>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bookmarkEnd w:id="12"/>
      <w:r>
        <w:rPr>
          <w:b w:val="0"/>
          <w:bCs w:val="0"/>
          <w:lang w:val="en-US" w:eastAsia="zh-CN"/>
        </w:rPr>
        <w:t>. ARP or carrier phase error calibration diagram</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ARP or carrier phase error calibration process is as follows (take ARP error as an example):</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1: PRU/PRS selection</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hint="eastAsia" w:ascii="Times New Roman" w:hAnsi="Times New Roman"/>
          <w:sz w:val="20"/>
          <w:szCs w:val="20"/>
          <w:lang w:val="en-US" w:eastAsia="zh-CN"/>
        </w:rPr>
        <w:t>LMF should select several PRU(s) to help UE calibrate ARP error, and t</w:t>
      </w:r>
      <w:r>
        <w:rPr>
          <w:rFonts w:ascii="Times New Roman" w:hAnsi="Times New Roman"/>
          <w:sz w:val="20"/>
          <w:szCs w:val="20"/>
        </w:rPr>
        <w:t>he criterion for PRU selection</w:t>
      </w:r>
      <w:r>
        <w:rPr>
          <w:rFonts w:hint="eastAsia" w:ascii="Times New Roman" w:hAnsi="Times New Roman"/>
          <w:sz w:val="20"/>
          <w:szCs w:val="20"/>
          <w:lang w:val="en-US" w:eastAsia="zh-CN"/>
        </w:rPr>
        <w:t xml:space="preserve"> may</w:t>
      </w:r>
      <w:r>
        <w:rPr>
          <w:rFonts w:ascii="Times New Roman" w:hAnsi="Times New Roman"/>
          <w:sz w:val="20"/>
          <w:szCs w:val="20"/>
        </w:rPr>
        <w:t xml:space="preserve"> include</w:t>
      </w:r>
      <w:r>
        <w:rPr>
          <w:rFonts w:hint="eastAsia" w:ascii="Times New Roman" w:hAnsi="Times New Roman"/>
          <w:sz w:val="20"/>
          <w:szCs w:val="20"/>
          <w:lang w:val="en-US" w:eastAsia="zh-CN"/>
        </w:rPr>
        <w:t xml:space="preserve"> the following requirements</w:t>
      </w:r>
      <w:r>
        <w:rPr>
          <w:rFonts w:ascii="Times New Roman" w:hAnsi="Times New Roman"/>
          <w:sz w:val="20"/>
          <w:szCs w:val="20"/>
        </w:rPr>
        <w:t xml:space="preserve">: </w:t>
      </w:r>
    </w:p>
    <w:p>
      <w:pPr>
        <w:widowControl w:val="0"/>
        <w:numPr>
          <w:ilvl w:val="0"/>
          <w:numId w:val="7"/>
        </w:numPr>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 xml:space="preserve">The selected PRU should be able to receive the same PRS </w:t>
      </w:r>
      <w:r>
        <w:rPr>
          <w:rFonts w:hint="eastAsia" w:ascii="Times New Roman" w:hAnsi="Times New Roman"/>
          <w:sz w:val="20"/>
          <w:szCs w:val="20"/>
        </w:rPr>
        <w:t xml:space="preserve">as </w:t>
      </w:r>
      <w:r>
        <w:rPr>
          <w:rFonts w:ascii="Times New Roman" w:hAnsi="Times New Roman"/>
          <w:sz w:val="20"/>
          <w:szCs w:val="20"/>
        </w:rPr>
        <w:t>that of the target UE</w:t>
      </w:r>
      <w:r>
        <w:rPr>
          <w:rFonts w:hint="eastAsia" w:ascii="Times New Roman" w:hAnsi="Times New Roman"/>
          <w:sz w:val="20"/>
          <w:szCs w:val="20"/>
        </w:rPr>
        <w:t>.</w:t>
      </w:r>
      <w:r>
        <w:rPr>
          <w:rFonts w:ascii="Times New Roman" w:hAnsi="Times New Roman"/>
          <w:sz w:val="20"/>
          <w:szCs w:val="20"/>
        </w:rPr>
        <w:t xml:space="preserve"> </w:t>
      </w:r>
    </w:p>
    <w:p>
      <w:pPr>
        <w:widowControl w:val="0"/>
        <w:numPr>
          <w:ilvl w:val="0"/>
          <w:numId w:val="7"/>
        </w:numPr>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The selected PRU should be in the LOS direction with the corresponding TRPs.</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_Ref9378 \h </w:instrText>
      </w:r>
      <w:r>
        <w:rPr>
          <w:rFonts w:ascii="Times New Roman" w:hAnsi="Times New Roman"/>
          <w:sz w:val="20"/>
          <w:szCs w:val="20"/>
        </w:rPr>
        <w:fldChar w:fldCharType="separate"/>
      </w:r>
      <w:r>
        <w:rPr>
          <w:rFonts w:ascii="Times New Roman" w:hAnsi="Times New Roman"/>
          <w:sz w:val="20"/>
          <w:szCs w:val="20"/>
        </w:rPr>
        <w:t>Figure 3</w:t>
      </w:r>
      <w:r>
        <w:rPr>
          <w:rFonts w:ascii="Times New Roman" w:hAnsi="Times New Roman"/>
          <w:sz w:val="20"/>
          <w:szCs w:val="20"/>
        </w:rPr>
        <w:fldChar w:fldCharType="end"/>
      </w:r>
      <w:r>
        <w:rPr>
          <w:rFonts w:ascii="Times New Roman" w:hAnsi="Times New Roman"/>
          <w:sz w:val="20"/>
          <w:szCs w:val="20"/>
        </w:rPr>
        <w:t>, there are several PRUs located around a UE, and a TRP is transmitting multiple PRS during the positioning process. In this case, PRU 3 and PRU 4 are selected as reference PRUs to calibrate the error sources for the target UE</w:t>
      </w:r>
      <w:r>
        <w:rPr>
          <w:rFonts w:hint="eastAsia" w:ascii="Times New Roman" w:hAnsi="Times New Roman"/>
          <w:sz w:val="20"/>
          <w:szCs w:val="20"/>
        </w:rPr>
        <w:t>.</w:t>
      </w:r>
      <w:r>
        <w:rPr>
          <w:rFonts w:ascii="Times New Roman" w:hAnsi="Times New Roman"/>
          <w:sz w:val="20"/>
          <w:szCs w:val="20"/>
        </w:rPr>
        <w:t xml:space="preserve"> PRU 3, PRU 4 and target UE share the same ARP error in this deployment setting.</w:t>
      </w:r>
    </w:p>
    <w:p>
      <w:pPr>
        <w:widowControl w:val="0"/>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507740" cy="1406525"/>
            <wp:effectExtent l="0" t="0" r="16510" b="317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9"/>
                    <a:stretch>
                      <a:fillRect/>
                    </a:stretch>
                  </pic:blipFill>
                  <pic:spPr>
                    <a:xfrm>
                      <a:off x="0" y="0"/>
                      <a:ext cx="3507740" cy="1406525"/>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rPr>
      </w:pPr>
      <w:bookmarkStart w:id="13" w:name="_Ref9378"/>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3</w:t>
      </w:r>
      <w:r>
        <w:rPr>
          <w:rFonts w:ascii="Times New Roman" w:hAnsi="Times New Roman"/>
          <w:sz w:val="20"/>
          <w:szCs w:val="20"/>
        </w:rPr>
        <w:fldChar w:fldCharType="end"/>
      </w:r>
      <w:bookmarkEnd w:id="13"/>
      <w:r>
        <w:rPr>
          <w:rFonts w:ascii="Times New Roman" w:hAnsi="Times New Roman"/>
          <w:sz w:val="20"/>
          <w:szCs w:val="20"/>
        </w:rPr>
        <w:t>. PRU selection example</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2: Measurement report</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 xml:space="preserve">PRU(s) measure and report the carrier phase of the received PRS. </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3: Error calculation</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After receiving the carrier phase reported by PRU, LMF can calculate the expected error source as follows:</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Assume that the antenna location of TRP is (</w:t>
      </w:r>
      <w:r>
        <w:rPr>
          <w:rFonts w:ascii="Times New Roman" w:hAnsi="Times New Roman"/>
          <w:i/>
          <w:iCs/>
          <w:sz w:val="20"/>
          <w:szCs w:val="20"/>
        </w:rPr>
        <w:t>x,y</w:t>
      </w:r>
      <w:r>
        <w:rPr>
          <w:rFonts w:ascii="Times New Roman" w:hAnsi="Times New Roman"/>
          <w:sz w:val="20"/>
          <w:szCs w:val="20"/>
        </w:rPr>
        <w:t>), ARP error is (</w:t>
      </w:r>
      <w:r>
        <w:rPr>
          <w:rFonts w:ascii="Times New Roman" w:hAnsi="Times New Roman"/>
          <w:i/>
          <w:iCs/>
          <w:sz w:val="20"/>
          <w:szCs w:val="20"/>
        </w:rPr>
        <w:t>e</w:t>
      </w:r>
      <w:r>
        <w:rPr>
          <w:rFonts w:ascii="Times New Roman" w:hAnsi="Times New Roman"/>
          <w:i/>
          <w:iCs/>
          <w:sz w:val="20"/>
          <w:szCs w:val="20"/>
          <w:vertAlign w:val="subscript"/>
        </w:rPr>
        <w:t>x</w:t>
      </w:r>
      <w:r>
        <w:rPr>
          <w:rFonts w:ascii="Times New Roman" w:hAnsi="Times New Roman"/>
          <w:i/>
          <w:iCs/>
          <w:sz w:val="20"/>
          <w:szCs w:val="20"/>
        </w:rPr>
        <w:t>,e</w:t>
      </w:r>
      <w:r>
        <w:rPr>
          <w:rFonts w:ascii="Times New Roman" w:hAnsi="Times New Roman"/>
          <w:i/>
          <w:iCs/>
          <w:sz w:val="20"/>
          <w:szCs w:val="20"/>
          <w:vertAlign w:val="subscript"/>
        </w:rPr>
        <w:t>y</w:t>
      </w:r>
      <w:r>
        <w:rPr>
          <w:rFonts w:ascii="Times New Roman" w:hAnsi="Times New Roman"/>
          <w:sz w:val="20"/>
          <w:szCs w:val="20"/>
        </w:rPr>
        <w:t>), the actual ARP location is (</w:t>
      </w:r>
      <w:r>
        <w:rPr>
          <w:rFonts w:ascii="Times New Roman" w:hAnsi="Times New Roman"/>
          <w:i/>
          <w:iCs/>
          <w:sz w:val="20"/>
          <w:szCs w:val="20"/>
        </w:rPr>
        <w:t>X,Y</w:t>
      </w:r>
      <w:r>
        <w:rPr>
          <w:rFonts w:ascii="Times New Roman" w:hAnsi="Times New Roman"/>
          <w:sz w:val="20"/>
          <w:szCs w:val="20"/>
        </w:rPr>
        <w:t>)= (</w:t>
      </w:r>
      <w:r>
        <w:rPr>
          <w:rFonts w:ascii="Times New Roman" w:hAnsi="Times New Roman"/>
          <w:i/>
          <w:iCs/>
          <w:sz w:val="20"/>
          <w:szCs w:val="20"/>
        </w:rPr>
        <w:t>x+e</w:t>
      </w:r>
      <w:r>
        <w:rPr>
          <w:rFonts w:ascii="Times New Roman" w:hAnsi="Times New Roman"/>
          <w:i/>
          <w:iCs/>
          <w:sz w:val="20"/>
          <w:szCs w:val="20"/>
          <w:vertAlign w:val="subscript"/>
        </w:rPr>
        <w:t>x</w:t>
      </w:r>
      <w:r>
        <w:rPr>
          <w:rFonts w:ascii="Times New Roman" w:hAnsi="Times New Roman"/>
          <w:i/>
          <w:iCs/>
          <w:sz w:val="20"/>
          <w:szCs w:val="20"/>
        </w:rPr>
        <w:t>, y+e</w:t>
      </w:r>
      <w:r>
        <w:rPr>
          <w:rFonts w:ascii="Times New Roman" w:hAnsi="Times New Roman"/>
          <w:i/>
          <w:iCs/>
          <w:sz w:val="20"/>
          <w:szCs w:val="20"/>
          <w:vertAlign w:val="subscript"/>
        </w:rPr>
        <w:t>y</w:t>
      </w:r>
      <w:r>
        <w:rPr>
          <w:rFonts w:ascii="Times New Roman" w:hAnsi="Times New Roman"/>
          <w:sz w:val="20"/>
          <w:szCs w:val="20"/>
        </w:rPr>
        <w:t>). The following calculation describe</w:t>
      </w:r>
      <w:r>
        <w:rPr>
          <w:rFonts w:hint="eastAsia" w:ascii="Times New Roman" w:hAnsi="Times New Roman"/>
          <w:sz w:val="20"/>
          <w:szCs w:val="20"/>
        </w:rPr>
        <w:t>s</w:t>
      </w:r>
      <w:r>
        <w:rPr>
          <w:rFonts w:ascii="Times New Roman" w:hAnsi="Times New Roman"/>
          <w:sz w:val="20"/>
          <w:szCs w:val="20"/>
        </w:rPr>
        <w:t xml:space="preserve"> the error estimation detail.</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Suppose the coordinates of PRU 3 and PRU 4 are (</w:t>
      </w:r>
      <w:r>
        <w:rPr>
          <w:rFonts w:ascii="Times New Roman" w:hAnsi="Times New Roman"/>
          <w:i/>
          <w:iCs/>
          <w:sz w:val="20"/>
          <w:szCs w:val="20"/>
        </w:rPr>
        <w:t>x</w:t>
      </w:r>
      <w:r>
        <w:rPr>
          <w:rFonts w:ascii="Times New Roman" w:hAnsi="Times New Roman"/>
          <w:i/>
          <w:iCs/>
          <w:sz w:val="20"/>
          <w:szCs w:val="20"/>
          <w:vertAlign w:val="subscript"/>
        </w:rPr>
        <w:t>3</w:t>
      </w:r>
      <w:r>
        <w:rPr>
          <w:rFonts w:ascii="Times New Roman" w:hAnsi="Times New Roman"/>
          <w:i/>
          <w:iCs/>
          <w:sz w:val="20"/>
          <w:szCs w:val="20"/>
        </w:rPr>
        <w:t>,y</w:t>
      </w:r>
      <w:r>
        <w:rPr>
          <w:rFonts w:ascii="Times New Roman" w:hAnsi="Times New Roman"/>
          <w:i/>
          <w:iCs/>
          <w:sz w:val="20"/>
          <w:szCs w:val="20"/>
          <w:vertAlign w:val="subscript"/>
        </w:rPr>
        <w:t>3</w:t>
      </w:r>
      <w:r>
        <w:rPr>
          <w:rFonts w:ascii="Times New Roman" w:hAnsi="Times New Roman"/>
          <w:sz w:val="20"/>
          <w:szCs w:val="20"/>
        </w:rPr>
        <w:t>), (</w:t>
      </w:r>
      <w:r>
        <w:rPr>
          <w:rFonts w:ascii="Times New Roman" w:hAnsi="Times New Roman"/>
          <w:i/>
          <w:iCs/>
          <w:sz w:val="20"/>
          <w:szCs w:val="20"/>
        </w:rPr>
        <w:t>x</w:t>
      </w:r>
      <w:r>
        <w:rPr>
          <w:rFonts w:ascii="Times New Roman" w:hAnsi="Times New Roman"/>
          <w:i/>
          <w:iCs/>
          <w:sz w:val="20"/>
          <w:szCs w:val="20"/>
          <w:vertAlign w:val="subscript"/>
        </w:rPr>
        <w:t>4</w:t>
      </w:r>
      <w:r>
        <w:rPr>
          <w:rFonts w:ascii="Times New Roman" w:hAnsi="Times New Roman"/>
          <w:i/>
          <w:iCs/>
          <w:sz w:val="20"/>
          <w:szCs w:val="20"/>
        </w:rPr>
        <w:t>,y</w:t>
      </w:r>
      <w:r>
        <w:rPr>
          <w:rFonts w:ascii="Times New Roman" w:hAnsi="Times New Roman"/>
          <w:i/>
          <w:iCs/>
          <w:sz w:val="20"/>
          <w:szCs w:val="20"/>
          <w:vertAlign w:val="subscript"/>
        </w:rPr>
        <w:t>4</w:t>
      </w:r>
      <w:r>
        <w:rPr>
          <w:rFonts w:ascii="Times New Roman" w:hAnsi="Times New Roman"/>
          <w:sz w:val="20"/>
          <w:szCs w:val="20"/>
        </w:rPr>
        <w:t xml:space="preserve">) respectively. The PRS carrier phase measured by PRU 3 and PRU 4 are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oMath>
      <w:r>
        <w:rPr>
          <w:rFonts w:ascii="Times New Roman" w:hAnsi="Times New Roman" w:eastAsia="宋体"/>
          <w:color w:val="000000"/>
          <w:sz w:val="20"/>
          <w:szCs w:val="20"/>
          <w:lang w:bidi="ar"/>
        </w:rPr>
        <w:t xml:space="preserve">,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oMath>
      <w:r>
        <w:rPr>
          <w:rFonts w:ascii="Times New Roman" w:hAnsi="Times New Roman"/>
          <w:sz w:val="20"/>
          <w:szCs w:val="20"/>
        </w:rPr>
        <w:t xml:space="preserve"> respectively. The actual distance between TRP and PRU 3 is:</w:t>
      </w:r>
    </w:p>
    <w:p>
      <w:pPr>
        <w:adjustRightInd w:val="0"/>
        <w:snapToGrid w:val="0"/>
        <w:spacing w:before="180" w:beforeLines="50" w:after="180" w:afterLines="50" w:line="240" w:lineRule="auto"/>
        <w:jc w:val="both"/>
        <w:rPr>
          <w:rFonts w:ascii="Times New Roman" w:hAnsi="Times New Roman" w:eastAsia="宋体"/>
          <w:color w:val="000000"/>
          <w:sz w:val="20"/>
          <w:szCs w:val="20"/>
          <w:lang w:bidi="ar"/>
        </w:rPr>
      </w:pPr>
      <m:oMathPara>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D</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(X−</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(Y−</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r>
            <m:rPr>
              <m:sty m:val="p"/>
            </m:rPr>
            <w:rPr>
              <w:rFonts w:ascii="Cambria Math" w:hAnsi="Cambria Math" w:eastAsia="宋体"/>
              <w:color w:val="000000"/>
              <w:sz w:val="20"/>
              <w:szCs w:val="20"/>
              <w:lang w:bidi="ar"/>
            </w:rPr>
            <m:t>)</m:t>
          </m:r>
        </m:oMath>
      </m:oMathPara>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actual distance between TRP and PRU 4 is:</w:t>
      </w:r>
    </w:p>
    <w:p>
      <w:pPr>
        <w:adjustRightInd w:val="0"/>
        <w:snapToGrid w:val="0"/>
        <w:spacing w:before="180" w:beforeLines="50" w:after="180" w:afterLines="50" w:line="240" w:lineRule="auto"/>
        <w:jc w:val="both"/>
        <w:rPr>
          <w:rFonts w:ascii="Times New Roman" w:hAnsi="Times New Roman" w:eastAsia="宋体"/>
          <w:color w:val="000000"/>
          <w:sz w:val="20"/>
          <w:szCs w:val="20"/>
          <w:lang w:bidi="ar"/>
        </w:rPr>
      </w:pPr>
      <m:oMathPara>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D</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(X−</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(Y−</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r>
            <m:rPr>
              <m:sty m:val="p"/>
            </m:rPr>
            <w:rPr>
              <w:rFonts w:ascii="Cambria Math" w:hAnsi="Cambria Math" w:eastAsia="宋体"/>
              <w:color w:val="000000"/>
              <w:sz w:val="20"/>
              <w:szCs w:val="20"/>
              <w:lang w:bidi="ar"/>
            </w:rPr>
            <m:t>)</m:t>
          </m:r>
        </m:oMath>
      </m:oMathPara>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 </w:t>
      </w:r>
      <m:oMath>
        <m:r>
          <m:rPr>
            <m:sty m:val="p"/>
          </m:rPr>
          <w:rPr>
            <w:rFonts w:ascii="Cambria Math" w:hAnsi="Cambria Math"/>
            <w:color w:val="000000"/>
            <w:sz w:val="20"/>
            <w:szCs w:val="20"/>
            <w:lang w:bidi="ar"/>
          </w:rPr>
          <m:t>λ</m:t>
        </m:r>
      </m:oMath>
      <w:r>
        <w:rPr>
          <w:rFonts w:ascii="Times New Roman" w:hAnsi="Times New Roman"/>
          <w:sz w:val="20"/>
          <w:szCs w:val="20"/>
        </w:rPr>
        <w:t xml:space="preserve"> is the wavelength of measured PRS, </w:t>
      </w:r>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oMath>
      <w:r>
        <w:rPr>
          <w:rFonts w:hint="eastAsia" w:ascii="Times New Roman" w:hAnsi="Times New Roman"/>
          <w:sz w:val="20"/>
          <w:szCs w:val="20"/>
        </w:rPr>
        <w:t xml:space="preserve"> and </w:t>
      </w:r>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oMath>
      <w:r>
        <w:rPr>
          <w:rFonts w:ascii="Times New Roman" w:hAnsi="Times New Roman"/>
          <w:sz w:val="20"/>
          <w:szCs w:val="20"/>
        </w:rPr>
        <w:t xml:space="preserve"> </w:t>
      </w:r>
      <w:r>
        <w:rPr>
          <w:rFonts w:hint="eastAsia" w:ascii="Times New Roman" w:hAnsi="Times New Roman"/>
          <w:sz w:val="20"/>
          <w:szCs w:val="20"/>
        </w:rPr>
        <w:t>are</w:t>
      </w:r>
      <w:r>
        <w:rPr>
          <w:rFonts w:ascii="Times New Roman" w:hAnsi="Times New Roman"/>
          <w:sz w:val="20"/>
          <w:szCs w:val="20"/>
        </w:rPr>
        <w:t xml:space="preserve"> the integer part</w:t>
      </w:r>
      <w:r>
        <w:rPr>
          <w:rFonts w:hint="eastAsia" w:ascii="Times New Roman" w:hAnsi="Times New Roman"/>
          <w:sz w:val="20"/>
          <w:szCs w:val="20"/>
        </w:rPr>
        <w:t>s of PRU 3 and PRU 4</w:t>
      </w:r>
      <w:r>
        <w:rPr>
          <w:rFonts w:ascii="Times New Roman" w:hAnsi="Times New Roman"/>
          <w:sz w:val="20"/>
          <w:szCs w:val="20"/>
        </w:rPr>
        <w:t>, combining the above formula, the actual TRP antenna location (</w:t>
      </w:r>
      <w:r>
        <w:rPr>
          <w:rFonts w:ascii="Times New Roman" w:hAnsi="Times New Roman"/>
          <w:i/>
          <w:iCs/>
          <w:sz w:val="20"/>
          <w:szCs w:val="20"/>
        </w:rPr>
        <w:t>X,Y</w:t>
      </w:r>
      <w:r>
        <w:rPr>
          <w:rFonts w:ascii="Times New Roman" w:hAnsi="Times New Roman"/>
          <w:sz w:val="20"/>
          <w:szCs w:val="20"/>
        </w:rPr>
        <w:t>) can be calculated. The estimated ARP error (</w:t>
      </w:r>
      <w:r>
        <w:rPr>
          <w:rFonts w:ascii="Times New Roman" w:hAnsi="Times New Roman"/>
          <w:i/>
          <w:iCs/>
          <w:sz w:val="20"/>
          <w:szCs w:val="20"/>
        </w:rPr>
        <w:t>e</w:t>
      </w:r>
      <w:r>
        <w:rPr>
          <w:rFonts w:ascii="Times New Roman" w:hAnsi="Times New Roman"/>
          <w:i/>
          <w:iCs/>
          <w:sz w:val="20"/>
          <w:szCs w:val="20"/>
          <w:vertAlign w:val="subscript"/>
        </w:rPr>
        <w:t>x</w:t>
      </w:r>
      <w:r>
        <w:rPr>
          <w:rFonts w:ascii="Times New Roman" w:hAnsi="Times New Roman"/>
          <w:i/>
          <w:iCs/>
          <w:sz w:val="20"/>
          <w:szCs w:val="20"/>
        </w:rPr>
        <w:t>,e</w:t>
      </w:r>
      <w:r>
        <w:rPr>
          <w:rFonts w:ascii="Times New Roman" w:hAnsi="Times New Roman"/>
          <w:i/>
          <w:iCs/>
          <w:sz w:val="20"/>
          <w:szCs w:val="20"/>
          <w:vertAlign w:val="subscript"/>
        </w:rPr>
        <w:t>y</w:t>
      </w:r>
      <w:r>
        <w:rPr>
          <w:rFonts w:ascii="Times New Roman" w:hAnsi="Times New Roman"/>
          <w:sz w:val="20"/>
          <w:szCs w:val="20"/>
        </w:rPr>
        <w:t>) can be calculated</w:t>
      </w:r>
      <w:r>
        <w:rPr>
          <w:rFonts w:hint="eastAsia" w:ascii="Times New Roman" w:hAnsi="Times New Roman"/>
          <w:sz w:val="20"/>
          <w:szCs w:val="20"/>
        </w:rPr>
        <w:t xml:space="preserve"> as follows:</w:t>
      </w:r>
    </w:p>
    <w:p>
      <w:pPr>
        <w:adjustRightInd w:val="0"/>
        <w:snapToGrid w:val="0"/>
        <w:spacing w:before="180" w:beforeLines="50" w:after="180" w:afterLines="50" w:line="240" w:lineRule="auto"/>
        <w:jc w:val="center"/>
        <w:rPr>
          <w:rFonts w:ascii="Times New Roman" w:hAnsi="Times New Roman"/>
          <w:sz w:val="20"/>
          <w:szCs w:val="20"/>
        </w:rPr>
      </w:pPr>
      <m:oMath>
        <m:sSub>
          <m:sSubPr>
            <m:ctrlPr>
              <w:rPr>
                <w:rStyle w:val="33"/>
                <w:rFonts w:ascii="Cambria Math" w:hAnsi="Cambria Math"/>
                <w:i/>
                <w:sz w:val="20"/>
                <w:szCs w:val="20"/>
              </w:rPr>
            </m:ctrlPr>
          </m:sSubPr>
          <m:e>
            <m:r>
              <m:rPr/>
              <w:rPr>
                <w:rStyle w:val="33"/>
                <w:rFonts w:ascii="Cambria Math" w:hAnsi="Cambria Math"/>
                <w:sz w:val="20"/>
                <w:szCs w:val="20"/>
              </w:rPr>
              <m:t>e</m:t>
            </m:r>
            <m:ctrlPr>
              <w:rPr>
                <w:rStyle w:val="33"/>
                <w:rFonts w:ascii="Cambria Math" w:hAnsi="Cambria Math"/>
                <w:i/>
                <w:sz w:val="20"/>
                <w:szCs w:val="20"/>
              </w:rPr>
            </m:ctrlPr>
          </m:e>
          <m:sub>
            <m:r>
              <m:rPr/>
              <w:rPr>
                <w:rStyle w:val="33"/>
                <w:rFonts w:ascii="Cambria Math" w:hAnsi="Cambria Math"/>
                <w:sz w:val="20"/>
                <w:szCs w:val="20"/>
              </w:rPr>
              <m:t>x</m:t>
            </m:r>
            <m:ctrlPr>
              <w:rPr>
                <w:rStyle w:val="33"/>
                <w:rFonts w:ascii="Cambria Math" w:hAnsi="Cambria Math"/>
                <w:i/>
                <w:sz w:val="20"/>
                <w:szCs w:val="20"/>
              </w:rPr>
            </m:ctrlPr>
          </m:sub>
        </m:sSub>
        <m:r>
          <m:rPr/>
          <w:rPr>
            <w:rStyle w:val="33"/>
            <w:rFonts w:ascii="Cambria Math" w:hAnsi="Cambria Math"/>
            <w:sz w:val="20"/>
            <w:szCs w:val="20"/>
          </w:rPr>
          <m:t xml:space="preserve">=X−x, </m:t>
        </m:r>
        <m:sSub>
          <m:sSubPr>
            <m:ctrlPr>
              <w:rPr>
                <w:rStyle w:val="33"/>
                <w:rFonts w:ascii="Cambria Math" w:hAnsi="Cambria Math"/>
                <w:i/>
                <w:sz w:val="20"/>
                <w:szCs w:val="20"/>
              </w:rPr>
            </m:ctrlPr>
          </m:sSubPr>
          <m:e>
            <m:r>
              <m:rPr/>
              <w:rPr>
                <w:rStyle w:val="33"/>
                <w:rFonts w:ascii="Cambria Math" w:hAnsi="Cambria Math"/>
                <w:sz w:val="20"/>
                <w:szCs w:val="20"/>
              </w:rPr>
              <m:t>e</m:t>
            </m:r>
            <m:ctrlPr>
              <w:rPr>
                <w:rStyle w:val="33"/>
                <w:rFonts w:ascii="Cambria Math" w:hAnsi="Cambria Math"/>
                <w:i/>
                <w:sz w:val="20"/>
                <w:szCs w:val="20"/>
              </w:rPr>
            </m:ctrlPr>
          </m:e>
          <m:sub>
            <m:r>
              <m:rPr/>
              <w:rPr>
                <w:rStyle w:val="33"/>
                <w:rFonts w:ascii="Cambria Math" w:hAnsi="Cambria Math"/>
                <w:sz w:val="20"/>
                <w:szCs w:val="20"/>
              </w:rPr>
              <m:t>y</m:t>
            </m:r>
            <m:ctrlPr>
              <w:rPr>
                <w:rStyle w:val="33"/>
                <w:rFonts w:ascii="Cambria Math" w:hAnsi="Cambria Math"/>
                <w:i/>
                <w:sz w:val="20"/>
                <w:szCs w:val="20"/>
              </w:rPr>
            </m:ctrlPr>
          </m:sub>
        </m:sSub>
        <m:r>
          <m:rPr/>
          <w:rPr>
            <w:rStyle w:val="33"/>
            <w:rFonts w:ascii="Cambria Math" w:hAnsi="Cambria Math"/>
            <w:sz w:val="20"/>
            <w:szCs w:val="20"/>
          </w:rPr>
          <m:t>=Y−y</m:t>
        </m:r>
      </m:oMath>
      <w:r>
        <w:rPr>
          <w:rFonts w:ascii="Times New Roman" w:hAnsi="Times New Roman"/>
          <w:sz w:val="20"/>
          <w:szCs w:val="20"/>
        </w:rPr>
        <w:t>.</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4: Error delivery</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 xml:space="preserve">After error calculation, LMF can deliver the estimated error to UE for further location calculation. In this way, UE can get more precise </w:t>
      </w:r>
      <w:r>
        <w:rPr>
          <w:rFonts w:hint="eastAsia" w:ascii="Times New Roman" w:hAnsi="Times New Roman"/>
          <w:sz w:val="20"/>
          <w:szCs w:val="20"/>
        </w:rPr>
        <w:t>positioning</w:t>
      </w:r>
      <w:r>
        <w:rPr>
          <w:rFonts w:ascii="Times New Roman" w:hAnsi="Times New Roman"/>
          <w:sz w:val="20"/>
          <w:szCs w:val="20"/>
        </w:rPr>
        <w:t xml:space="preserve"> result while calibrating the ARP error. </w:t>
      </w:r>
      <w:r>
        <w:rPr>
          <w:rFonts w:hint="eastAsia" w:ascii="Times New Roman" w:hAnsi="Times New Roman"/>
          <w:sz w:val="20"/>
          <w:szCs w:val="20"/>
          <w:lang w:val="en-US" w:eastAsia="zh-CN"/>
        </w:rPr>
        <w:t xml:space="preserve">The carrier phase error can also be calculated in the same way. </w:t>
      </w:r>
      <w:r>
        <w:rPr>
          <w:rFonts w:ascii="Times New Roman" w:hAnsi="Times New Roman"/>
          <w:sz w:val="20"/>
          <w:szCs w:val="20"/>
        </w:rPr>
        <w:t>Hence, we have the following proposal.</w:t>
      </w:r>
    </w:p>
    <w:p>
      <w:pPr>
        <w:pStyle w:val="13"/>
        <w:adjustRightInd w:val="0"/>
        <w:snapToGrid w:val="0"/>
        <w:spacing w:before="180" w:beforeLines="50" w:after="180" w:afterLines="50"/>
        <w:jc w:val="both"/>
        <w:rPr>
          <w:rFonts w:eastAsia="宋体"/>
          <w:i/>
          <w:lang w:val="en-US" w:eastAsia="zh-CN"/>
        </w:rPr>
      </w:pPr>
      <w:bookmarkStart w:id="14" w:name="_Ref12105"/>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5</w:t>
      </w:r>
      <w:r>
        <w:rPr>
          <w:rFonts w:eastAsia="宋体"/>
          <w:i/>
        </w:rPr>
        <w:fldChar w:fldCharType="end"/>
      </w:r>
      <w:r>
        <w:rPr>
          <w:rFonts w:eastAsia="宋体"/>
          <w:i/>
        </w:rPr>
        <w:t xml:space="preserve">: </w:t>
      </w:r>
      <w:r>
        <w:rPr>
          <w:rFonts w:eastAsia="宋体"/>
          <w:i/>
          <w:lang w:val="en-US" w:eastAsia="zh-CN"/>
        </w:rPr>
        <w:t>For DL UE-based carrier phase positioning, the ARP or carrier phase error of the TRP can be delivered by LMF.</w:t>
      </w:r>
      <w:bookmarkEnd w:id="14"/>
    </w:p>
    <w:p>
      <w:pPr>
        <w:widowControl w:val="0"/>
        <w:adjustRightInd w:val="0"/>
        <w:snapToGrid w:val="0"/>
        <w:spacing w:before="180" w:beforeLines="50" w:after="180" w:afterLines="50" w:line="240" w:lineRule="auto"/>
        <w:jc w:val="both"/>
        <w:rPr>
          <w:rFonts w:ascii="Times New Roman" w:hAnsi="Times New Roman"/>
          <w:color w:val="000000"/>
          <w:sz w:val="20"/>
          <w:szCs w:val="20"/>
          <w:lang w:bidi="ar"/>
        </w:rPr>
      </w:pPr>
      <w:r>
        <w:rPr>
          <w:rFonts w:ascii="Times New Roman" w:hAnsi="Times New Roman"/>
          <w:sz w:val="20"/>
          <w:szCs w:val="20"/>
        </w:rPr>
        <w:t>In PRU-assisted carrier phase positioning procedure, PRU knows the exact location where it camps on. Assume that the coordinates of TRP and PRU are (</w:t>
      </w:r>
      <w:r>
        <w:rPr>
          <w:rFonts w:ascii="Times New Roman" w:hAnsi="Times New Roman"/>
          <w:i/>
          <w:iCs/>
          <w:sz w:val="20"/>
          <w:szCs w:val="20"/>
        </w:rPr>
        <w:t>x</w:t>
      </w:r>
      <w:r>
        <w:rPr>
          <w:rFonts w:ascii="Times New Roman" w:hAnsi="Times New Roman"/>
          <w:i/>
          <w:iCs/>
          <w:sz w:val="20"/>
          <w:szCs w:val="20"/>
          <w:vertAlign w:val="subscript"/>
        </w:rPr>
        <w:t>T</w:t>
      </w:r>
      <w:r>
        <w:rPr>
          <w:rFonts w:ascii="Times New Roman" w:hAnsi="Times New Roman"/>
          <w:i/>
          <w:iCs/>
          <w:sz w:val="20"/>
          <w:szCs w:val="20"/>
        </w:rPr>
        <w:t>,y</w:t>
      </w:r>
      <w:r>
        <w:rPr>
          <w:rFonts w:ascii="Times New Roman" w:hAnsi="Times New Roman"/>
          <w:i/>
          <w:iCs/>
          <w:sz w:val="20"/>
          <w:szCs w:val="20"/>
          <w:vertAlign w:val="subscript"/>
        </w:rPr>
        <w:t>T</w:t>
      </w:r>
      <w:r>
        <w:rPr>
          <w:rFonts w:ascii="Times New Roman" w:hAnsi="Times New Roman"/>
          <w:sz w:val="20"/>
          <w:szCs w:val="20"/>
        </w:rPr>
        <w:t>), (</w:t>
      </w:r>
      <w:r>
        <w:rPr>
          <w:rFonts w:ascii="Times New Roman" w:hAnsi="Times New Roman"/>
          <w:i/>
          <w:iCs/>
          <w:sz w:val="20"/>
          <w:szCs w:val="20"/>
        </w:rPr>
        <w:t>x</w:t>
      </w:r>
      <w:r>
        <w:rPr>
          <w:rFonts w:ascii="Times New Roman" w:hAnsi="Times New Roman"/>
          <w:i/>
          <w:iCs/>
          <w:sz w:val="20"/>
          <w:szCs w:val="20"/>
          <w:vertAlign w:val="subscript"/>
        </w:rPr>
        <w:t>P</w:t>
      </w:r>
      <w:r>
        <w:rPr>
          <w:rFonts w:ascii="Times New Roman" w:hAnsi="Times New Roman"/>
          <w:i/>
          <w:iCs/>
          <w:sz w:val="20"/>
          <w:szCs w:val="20"/>
        </w:rPr>
        <w:t>,y</w:t>
      </w:r>
      <w:r>
        <w:rPr>
          <w:rFonts w:ascii="Times New Roman" w:hAnsi="Times New Roman"/>
          <w:i/>
          <w:iCs/>
          <w:sz w:val="20"/>
          <w:szCs w:val="20"/>
          <w:vertAlign w:val="subscript"/>
        </w:rPr>
        <w:t>P</w:t>
      </w:r>
      <w:r>
        <w:rPr>
          <w:rFonts w:ascii="Times New Roman" w:hAnsi="Times New Roman"/>
          <w:sz w:val="20"/>
          <w:szCs w:val="20"/>
        </w:rPr>
        <w:t xml:space="preserve">) respectively, and the PRS carrier phase measured by PRU is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oMath>
      <w:r>
        <w:rPr>
          <w:rFonts w:ascii="Times New Roman" w:hAnsi="Times New Roman" w:eastAsia="宋体"/>
          <w:color w:val="000000"/>
          <w:sz w:val="20"/>
          <w:szCs w:val="20"/>
          <w:lang w:bidi="ar"/>
        </w:rPr>
        <w:t>, the carrier phase error is Δ</w:t>
      </w:r>
      <m:oMath>
        <m:r>
          <m:rPr>
            <m:sty m:val="p"/>
          </m:rPr>
          <w:rPr>
            <w:rFonts w:ascii="Cambria Math" w:hAnsi="Cambria Math"/>
            <w:color w:val="000000"/>
            <w:sz w:val="20"/>
            <w:szCs w:val="20"/>
            <w:lang w:bidi="ar"/>
          </w:rPr>
          <m:t>φ</m:t>
        </m:r>
      </m:oMath>
      <w:r>
        <w:rPr>
          <w:rFonts w:ascii="Times New Roman" w:hAnsi="Times New Roman"/>
          <w:color w:val="000000"/>
          <w:sz w:val="20"/>
          <w:szCs w:val="20"/>
          <w:lang w:bidi="ar"/>
        </w:rPr>
        <w:t xml:space="preserve">, the distance between TRP and PRU is </w:t>
      </w:r>
    </w:p>
    <w:p>
      <w:pPr>
        <w:adjustRightInd w:val="0"/>
        <w:snapToGrid w:val="0"/>
        <w:spacing w:before="180" w:beforeLines="50" w:after="180" w:afterLines="50" w:line="240" w:lineRule="auto"/>
        <w:jc w:val="center"/>
        <w:rPr>
          <w:rFonts w:ascii="Times New Roman" w:hAnsi="Times New Roman"/>
          <w:color w:val="000000"/>
          <w:sz w:val="20"/>
          <w:szCs w:val="20"/>
          <w:lang w:bidi="ar"/>
        </w:rPr>
      </w:pPr>
      <m:oMath>
        <m:r>
          <m:rPr>
            <m:sty m:val="p"/>
          </m:rPr>
          <w:rPr>
            <w:rFonts w:ascii="Cambria Math" w:hAnsi="Cambria Math" w:eastAsia="宋体"/>
            <w:color w:val="000000"/>
            <w:sz w:val="20"/>
            <w:szCs w:val="20"/>
            <w:lang w:bidi="ar"/>
          </w:rPr>
          <m:t>D=</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T</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T</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+Δ</m:t>
        </m:r>
        <m:r>
          <m:rPr>
            <m:sty m:val="p"/>
          </m:rPr>
          <w:rPr>
            <w:rFonts w:ascii="Cambria Math" w:hAnsi="Cambria Math"/>
            <w:color w:val="000000"/>
            <w:sz w:val="20"/>
            <w:szCs w:val="20"/>
            <w:lang w:bidi="ar"/>
          </w:rPr>
          <m:t>φ</m:t>
        </m:r>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oMath>
      <w:r>
        <w:rPr>
          <w:rFonts w:ascii="Times New Roman" w:hAnsi="Times New Roman"/>
          <w:color w:val="000000"/>
          <w:sz w:val="20"/>
          <w:szCs w:val="20"/>
          <w:lang w:bidi="ar"/>
        </w:rPr>
        <w:t>]</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color w:val="000000"/>
          <w:sz w:val="20"/>
          <w:szCs w:val="20"/>
          <w:lang w:bidi="ar"/>
        </w:rPr>
        <w:t>Substituting the known coordinates and measured carrier phase to the above equation, the carrier phase error can be calculated. And the estimated carrier phase error can be reported by PRU</w:t>
      </w:r>
      <w:r>
        <w:rPr>
          <w:rFonts w:hint="eastAsia" w:ascii="Times New Roman" w:hAnsi="Times New Roman"/>
          <w:color w:val="000000"/>
          <w:sz w:val="20"/>
          <w:szCs w:val="20"/>
          <w:lang w:bidi="ar"/>
        </w:rPr>
        <w:t xml:space="preserve"> to LMF</w:t>
      </w:r>
      <w:r>
        <w:rPr>
          <w:rFonts w:ascii="Times New Roman" w:hAnsi="Times New Roman"/>
          <w:color w:val="000000"/>
          <w:sz w:val="20"/>
          <w:szCs w:val="20"/>
          <w:lang w:bidi="ar"/>
        </w:rPr>
        <w:t>.</w:t>
      </w:r>
    </w:p>
    <w:p>
      <w:pPr>
        <w:pStyle w:val="13"/>
        <w:adjustRightInd w:val="0"/>
        <w:snapToGrid w:val="0"/>
        <w:spacing w:before="180" w:beforeLines="50" w:after="180" w:afterLines="50"/>
        <w:jc w:val="both"/>
        <w:rPr>
          <w:rFonts w:eastAsia="宋体"/>
          <w:i/>
          <w:lang w:val="en-US" w:eastAsia="zh-CN"/>
        </w:rPr>
      </w:pPr>
      <w:bookmarkStart w:id="15" w:name="_Ref12108"/>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6</w:t>
      </w:r>
      <w:r>
        <w:rPr>
          <w:rFonts w:eastAsia="宋体"/>
          <w:i/>
        </w:rPr>
        <w:fldChar w:fldCharType="end"/>
      </w:r>
      <w:r>
        <w:rPr>
          <w:rFonts w:eastAsia="宋体"/>
          <w:i/>
        </w:rPr>
        <w:t>:</w:t>
      </w:r>
      <w:r>
        <w:rPr>
          <w:rFonts w:eastAsia="宋体"/>
          <w:i/>
          <w:lang w:val="en-US" w:eastAsia="zh-CN"/>
        </w:rPr>
        <w:t xml:space="preserve"> For UE-based carrier phase positioning, the carrier phase error can be reported by PRU</w:t>
      </w:r>
      <w:r>
        <w:rPr>
          <w:rFonts w:hint="eastAsia" w:eastAsia="宋体"/>
          <w:i/>
          <w:lang w:val="en-US" w:eastAsia="zh-CN"/>
        </w:rPr>
        <w:t xml:space="preserve"> to LMF</w:t>
      </w:r>
      <w:r>
        <w:rPr>
          <w:rFonts w:eastAsia="宋体"/>
          <w:i/>
          <w:lang w:val="en-US" w:eastAsia="zh-CN"/>
        </w:rPr>
        <w:t>.</w:t>
      </w:r>
      <w:bookmarkEnd w:id="15"/>
    </w:p>
    <w:p>
      <w:pPr>
        <w:pStyle w:val="4"/>
        <w:numPr>
          <w:ilvl w:val="1"/>
          <w:numId w:val="0"/>
        </w:numPr>
        <w:ind w:left="220" w:leftChars="100"/>
      </w:pPr>
      <w:r>
        <w:rPr>
          <w:rFonts w:hint="eastAsia"/>
          <w:lang w:val="en-US"/>
        </w:rPr>
        <w:t>2</w:t>
      </w:r>
      <w:r>
        <w:rPr>
          <w:rFonts w:hint="eastAsia"/>
        </w:rPr>
        <w:t>.3.2</w:t>
      </w:r>
      <w:r>
        <w:rPr>
          <w:rFonts w:hint="eastAsia"/>
          <w:lang w:val="en-US"/>
        </w:rPr>
        <w:t xml:space="preserve"> </w:t>
      </w:r>
      <w:r>
        <w:rPr>
          <w:rFonts w:hint="eastAsia"/>
        </w:rPr>
        <w:t>PRU carrier phase measurement report</w:t>
      </w:r>
    </w:p>
    <w:p>
      <w:pPr>
        <w:pStyle w:val="94"/>
        <w:snapToGrid w:val="0"/>
        <w:spacing w:before="180" w:beforeLines="50" w:afterLines="50" w:line="240" w:lineRule="auto"/>
        <w:ind w:left="0"/>
        <w:jc w:val="both"/>
        <w:rPr>
          <w:rFonts w:eastAsia="MS Mincho"/>
          <w:bCs/>
          <w:sz w:val="20"/>
          <w:szCs w:val="24"/>
          <w:lang w:eastAsia="zh-CN"/>
        </w:rPr>
      </w:pPr>
      <w:r>
        <w:rPr>
          <w:rFonts w:hint="eastAsia" w:eastAsia="MS Mincho"/>
          <w:bCs/>
          <w:sz w:val="20"/>
          <w:szCs w:val="24"/>
          <w:lang w:eastAsia="zh-CN"/>
        </w:rPr>
        <w:t>In our previous contributions [3,4], it is proved that single/dual differential technique with PRU can improve the positioning accuracy in carrier phase positioning. And previous discussion in RAN1 meeting</w:t>
      </w:r>
      <w:r>
        <w:rPr>
          <w:rFonts w:hint="eastAsia" w:eastAsia="MS Mincho"/>
          <w:bCs/>
          <w:sz w:val="20"/>
          <w:szCs w:val="24"/>
          <w:lang w:val="en-US" w:eastAsia="zh-CN"/>
        </w:rPr>
        <w:t>s</w:t>
      </w:r>
      <w:r>
        <w:rPr>
          <w:rFonts w:hint="eastAsia" w:eastAsia="MS Mincho"/>
          <w:bCs/>
          <w:sz w:val="20"/>
          <w:szCs w:val="24"/>
          <w:lang w:eastAsia="zh-CN"/>
        </w:rPr>
        <w:t xml:space="preserve"> demonstrated that the use of PRU in carrier phase positioning is beneficial for both UE-based and UE-assisted NR carrier phase positioning. If PRU is adopted in a positioning process, PRU should report the carrier phase measurement results to LMF. But for UE-based carrier phase positioning, all of the measurement results should be collected by UE. Therefore, LMF can forward the PRU carrier phase measurement result</w:t>
      </w:r>
      <w:r>
        <w:rPr>
          <w:rFonts w:hint="eastAsia" w:eastAsia="MS Mincho"/>
          <w:bCs/>
          <w:sz w:val="20"/>
          <w:szCs w:val="24"/>
          <w:lang w:val="en-US" w:eastAsia="zh-CN"/>
        </w:rPr>
        <w:t>s</w:t>
      </w:r>
      <w:r>
        <w:rPr>
          <w:rFonts w:hint="eastAsia" w:eastAsia="MS Mincho"/>
          <w:bCs/>
          <w:sz w:val="20"/>
          <w:szCs w:val="24"/>
          <w:lang w:eastAsia="zh-CN"/>
        </w:rPr>
        <w:t xml:space="preserve"> to UE for further location estimation. Hence, we have the following proposal:</w:t>
      </w:r>
    </w:p>
    <w:p>
      <w:pPr>
        <w:pStyle w:val="13"/>
        <w:adjustRightInd w:val="0"/>
        <w:snapToGrid w:val="0"/>
        <w:spacing w:before="180" w:beforeLines="50" w:after="180" w:afterLines="50"/>
        <w:jc w:val="both"/>
        <w:rPr>
          <w:rFonts w:eastAsia="宋体"/>
          <w:i/>
          <w:lang w:val="en-US" w:eastAsia="zh-CN"/>
        </w:rPr>
      </w:pPr>
      <w:bookmarkStart w:id="16" w:name="_Ref18323"/>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7</w:t>
      </w:r>
      <w:r>
        <w:rPr>
          <w:rFonts w:eastAsia="宋体"/>
          <w:i/>
        </w:rPr>
        <w:fldChar w:fldCharType="end"/>
      </w:r>
      <w:r>
        <w:rPr>
          <w:rFonts w:eastAsia="宋体"/>
          <w:i/>
        </w:rPr>
        <w:t>:</w:t>
      </w:r>
      <w:r>
        <w:rPr>
          <w:rFonts w:eastAsia="宋体"/>
          <w:i/>
          <w:lang w:val="en-US" w:eastAsia="zh-CN"/>
        </w:rPr>
        <w:t xml:space="preserve"> For UE-based carrier phase positioning, </w:t>
      </w:r>
      <w:r>
        <w:rPr>
          <w:rFonts w:hint="eastAsia" w:eastAsia="宋体"/>
          <w:i/>
          <w:lang w:val="en-US" w:eastAsia="zh-CN"/>
        </w:rPr>
        <w:t>support LMF forwarding the carrier phase measurement results of the PRU to the target UE.</w:t>
      </w:r>
      <w:bookmarkEnd w:id="16"/>
    </w:p>
    <w:p>
      <w:pPr>
        <w:pStyle w:val="4"/>
        <w:numPr>
          <w:ilvl w:val="1"/>
          <w:numId w:val="0"/>
        </w:numPr>
        <w:ind w:left="220" w:leftChars="100"/>
        <w:rPr>
          <w:lang w:val="en-US"/>
        </w:rPr>
      </w:pPr>
      <w:r>
        <w:rPr>
          <w:rFonts w:hint="eastAsia"/>
          <w:lang w:val="en-US"/>
        </w:rPr>
        <w:t>2</w:t>
      </w:r>
      <w:r>
        <w:rPr>
          <w:rFonts w:hint="eastAsia"/>
        </w:rPr>
        <w:t>.3.3</w:t>
      </w:r>
      <w:r>
        <w:rPr>
          <w:rFonts w:hint="eastAsia"/>
          <w:lang w:val="en-US"/>
        </w:rPr>
        <w:t xml:space="preserve"> Enhancement on PRU procedures (regarding the LS from SA2)</w:t>
      </w:r>
    </w:p>
    <w:p>
      <w:pPr>
        <w:pStyle w:val="94"/>
        <w:snapToGrid w:val="0"/>
        <w:spacing w:before="180" w:beforeLines="50" w:afterLines="50" w:line="240" w:lineRule="auto"/>
        <w:ind w:left="0"/>
        <w:jc w:val="both"/>
        <w:rPr>
          <w:rFonts w:eastAsia="MS Mincho"/>
          <w:bCs/>
          <w:sz w:val="20"/>
          <w:szCs w:val="24"/>
          <w:lang w:eastAsia="zh-CN"/>
        </w:rPr>
      </w:pPr>
      <w:r>
        <w:rPr>
          <w:rFonts w:hint="eastAsia" w:eastAsia="MS Mincho"/>
          <w:bCs/>
          <w:sz w:val="20"/>
          <w:szCs w:val="24"/>
          <w:lang w:eastAsia="zh-CN"/>
        </w:rPr>
        <w:t xml:space="preserve">In last meeting, SA2 sent an LS [4] concerning the potential enhancement on PRU as follows: </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pStyle w:val="23"/>
              <w:tabs>
                <w:tab w:val="clear" w:pos="4536"/>
                <w:tab w:val="clear" w:pos="9072"/>
              </w:tabs>
              <w:adjustRightInd w:val="0"/>
              <w:snapToGrid w:val="0"/>
              <w:spacing w:after="180" w:afterLines="50"/>
              <w:rPr>
                <w:rFonts w:ascii="Times New Roman" w:hAnsi="Times New Roman"/>
                <w:b w:val="0"/>
                <w:bCs/>
              </w:rPr>
            </w:pPr>
            <w:r>
              <w:rPr>
                <w:rFonts w:ascii="Times New Roman" w:hAnsi="Times New Roman"/>
                <w:b w:val="0"/>
                <w:bCs/>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p>
            <w:pPr>
              <w:pStyle w:val="23"/>
              <w:tabs>
                <w:tab w:val="clear" w:pos="4536"/>
                <w:tab w:val="clear" w:pos="9072"/>
              </w:tabs>
              <w:adjustRightInd w:val="0"/>
              <w:snapToGrid w:val="0"/>
              <w:spacing w:after="180" w:afterLines="50"/>
            </w:pPr>
            <w:r>
              <w:rPr>
                <w:rFonts w:ascii="Times New Roman" w:hAnsi="Times New Roman"/>
                <w:b w:val="0"/>
                <w:bCs/>
              </w:rPr>
              <w:t xml:space="preserve">Additionally, SA2 also would like to know what location information can be provided by PRU, and whether RAN1 and RAN2 see benefit to allow PRU to provide its location information together with the location measurements reports. </w:t>
            </w:r>
          </w:p>
        </w:tc>
      </w:tr>
    </w:tbl>
    <w:p>
      <w:pPr>
        <w:pStyle w:val="94"/>
        <w:snapToGrid w:val="0"/>
        <w:spacing w:before="180" w:beforeLines="50" w:afterLines="50" w:line="240" w:lineRule="auto"/>
        <w:ind w:left="0"/>
        <w:jc w:val="both"/>
        <w:rPr>
          <w:rFonts w:eastAsia="MS Mincho"/>
          <w:bCs/>
          <w:sz w:val="20"/>
          <w:szCs w:val="24"/>
          <w:lang w:eastAsia="zh-CN"/>
        </w:rPr>
      </w:pPr>
      <w:r>
        <w:rPr>
          <w:rFonts w:hint="eastAsia" w:eastAsia="MS Mincho"/>
          <w:bCs/>
          <w:sz w:val="20"/>
          <w:szCs w:val="24"/>
          <w:lang w:eastAsia="zh-CN"/>
        </w:rPr>
        <w:t>And the following conclusion was made towards this LS:</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302" w:type="dxa"/>
          </w:tcPr>
          <w:p>
            <w:pPr>
              <w:pStyle w:val="23"/>
              <w:tabs>
                <w:tab w:val="clear" w:pos="4536"/>
                <w:tab w:val="clear" w:pos="9072"/>
              </w:tabs>
              <w:adjustRightInd w:val="0"/>
              <w:snapToGrid w:val="0"/>
              <w:spacing w:after="180" w:afterLines="50"/>
              <w:rPr>
                <w:rFonts w:ascii="Times New Roman" w:hAnsi="Times New Roman"/>
              </w:rPr>
            </w:pPr>
            <w:r>
              <w:rPr>
                <w:rFonts w:ascii="Times New Roman" w:hAnsi="Times New Roman"/>
              </w:rPr>
              <w:t>Conclusion</w:t>
            </w:r>
          </w:p>
          <w:p>
            <w:pPr>
              <w:pStyle w:val="23"/>
              <w:tabs>
                <w:tab w:val="clear" w:pos="4536"/>
                <w:tab w:val="clear" w:pos="9072"/>
              </w:tabs>
              <w:adjustRightInd w:val="0"/>
              <w:snapToGrid w:val="0"/>
              <w:spacing w:after="180" w:afterLines="50"/>
              <w:rPr>
                <w:rFonts w:ascii="Times New Roman" w:hAnsi="Times New Roman"/>
                <w:b w:val="0"/>
                <w:bCs/>
              </w:rPr>
            </w:pPr>
            <w:r>
              <w:rPr>
                <w:rFonts w:ascii="Times New Roman" w:hAnsi="Times New Roman"/>
                <w:b w:val="0"/>
                <w:bCs/>
              </w:rPr>
              <w:t>Current RAN1 specifications do not support a mechanism to ensure simultaneous measurements/transmissions (e.g. in the same slot(s)) for multiple UEs, including a target UE and a PRU.</w:t>
            </w:r>
          </w:p>
          <w:p>
            <w:pPr>
              <w:pStyle w:val="23"/>
              <w:tabs>
                <w:tab w:val="clear" w:pos="4536"/>
                <w:tab w:val="clear" w:pos="9072"/>
              </w:tabs>
              <w:adjustRightInd w:val="0"/>
              <w:snapToGrid w:val="0"/>
              <w:spacing w:after="180" w:afterLines="50"/>
              <w:rPr>
                <w:rFonts w:ascii="Times New Roman" w:hAnsi="Times New Roman"/>
              </w:rPr>
            </w:pPr>
            <w:r>
              <w:rPr>
                <w:rFonts w:ascii="Times New Roman" w:hAnsi="Times New Roman"/>
              </w:rPr>
              <w:t>Conclusion</w:t>
            </w:r>
          </w:p>
          <w:p>
            <w:pPr>
              <w:pStyle w:val="23"/>
              <w:tabs>
                <w:tab w:val="clear" w:pos="4536"/>
                <w:tab w:val="clear" w:pos="9072"/>
              </w:tabs>
              <w:adjustRightInd w:val="0"/>
              <w:snapToGrid w:val="0"/>
              <w:spacing w:after="180" w:afterLines="50"/>
            </w:pPr>
            <w:r>
              <w:rPr>
                <w:rFonts w:ascii="Times New Roman" w:hAnsi="Times New Roman"/>
                <w:b w:val="0"/>
                <w:bCs/>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tc>
      </w:tr>
    </w:tbl>
    <w:p>
      <w:pPr>
        <w:pStyle w:val="94"/>
        <w:snapToGrid w:val="0"/>
        <w:spacing w:before="180" w:beforeLines="50" w:afterLines="50" w:line="240" w:lineRule="auto"/>
        <w:ind w:left="0"/>
        <w:jc w:val="both"/>
        <w:rPr>
          <w:rFonts w:eastAsia="MS Mincho"/>
          <w:bCs/>
          <w:sz w:val="20"/>
          <w:szCs w:val="24"/>
          <w:lang w:eastAsia="zh-CN"/>
        </w:rPr>
      </w:pPr>
      <w:r>
        <w:rPr>
          <w:rFonts w:hint="eastAsia" w:eastAsia="MS Mincho"/>
          <w:bCs/>
          <w:sz w:val="20"/>
          <w:szCs w:val="24"/>
          <w:lang w:val="en-US" w:eastAsia="zh-CN"/>
        </w:rPr>
        <w:t>I</w:t>
      </w:r>
      <w:r>
        <w:rPr>
          <w:rFonts w:hint="eastAsia" w:eastAsia="MS Mincho"/>
          <w:bCs/>
          <w:sz w:val="20"/>
          <w:szCs w:val="24"/>
          <w:lang w:eastAsia="zh-CN"/>
        </w:rPr>
        <w:t>n carrier phase positioning, it is beneficial for UE and PRU measure/transmit PRS/SRS simultaneously. The main benefits are listed as follows:</w:t>
      </w:r>
    </w:p>
    <w:p>
      <w:pPr>
        <w:snapToGrid w:val="0"/>
        <w:spacing w:after="180" w:afterLines="50" w:line="240" w:lineRule="auto"/>
        <w:jc w:val="both"/>
        <w:rPr>
          <w:rFonts w:ascii="Times New Roman" w:hAnsi="Times New Roman" w:eastAsia="MS Mincho"/>
          <w:bCs/>
          <w:sz w:val="20"/>
          <w:szCs w:val="24"/>
        </w:rPr>
      </w:pPr>
      <w:r>
        <w:rPr>
          <w:rFonts w:hint="eastAsia" w:ascii="Times New Roman" w:hAnsi="Times New Roman" w:eastAsia="MS Mincho"/>
          <w:b/>
          <w:sz w:val="20"/>
          <w:szCs w:val="24"/>
          <w:u w:val="single"/>
        </w:rPr>
        <w:t>Faster positioning response time</w:t>
      </w:r>
      <w:r>
        <w:rPr>
          <w:rFonts w:hint="eastAsia" w:ascii="Times New Roman" w:hAnsi="Times New Roman" w:eastAsia="MS Mincho"/>
          <w:bCs/>
          <w:sz w:val="20"/>
          <w:szCs w:val="24"/>
        </w:rPr>
        <w:t xml:space="preserve">: Single/dual differential technique with PRU can improve the positioning accuracy in carrier phase positioning. </w:t>
      </w:r>
      <w:r>
        <w:rPr>
          <w:rFonts w:hint="eastAsia" w:ascii="Times New Roman" w:hAnsi="Times New Roman" w:eastAsia="宋体"/>
          <w:bCs/>
          <w:sz w:val="20"/>
          <w:szCs w:val="24"/>
          <w:lang w:val="en-US" w:eastAsia="zh-CN"/>
        </w:rPr>
        <w:t>F</w:t>
      </w:r>
      <w:r>
        <w:rPr>
          <w:rFonts w:hint="eastAsia" w:ascii="Times New Roman" w:hAnsi="Times New Roman" w:eastAsia="MS Mincho"/>
          <w:bCs/>
          <w:sz w:val="20"/>
          <w:szCs w:val="24"/>
        </w:rPr>
        <w:t xml:space="preserve">or DL positioning method, this differential operation requires the measurement results </w:t>
      </w:r>
      <w:r>
        <w:rPr>
          <w:rFonts w:hint="eastAsia" w:ascii="Times New Roman" w:hAnsi="Times New Roman" w:eastAsia="宋体"/>
          <w:bCs/>
          <w:sz w:val="20"/>
          <w:szCs w:val="24"/>
          <w:lang w:val="en-US" w:eastAsia="zh-CN"/>
        </w:rPr>
        <w:t xml:space="preserve">both </w:t>
      </w:r>
      <w:r>
        <w:rPr>
          <w:rFonts w:hint="eastAsia" w:ascii="Times New Roman" w:hAnsi="Times New Roman" w:eastAsia="MS Mincho"/>
          <w:bCs/>
          <w:sz w:val="20"/>
          <w:szCs w:val="24"/>
        </w:rPr>
        <w:t>on UE and PRU</w:t>
      </w:r>
      <w:r>
        <w:rPr>
          <w:rFonts w:ascii="Times New Roman" w:hAnsi="Times New Roman" w:eastAsia="MS Mincho"/>
          <w:bCs/>
          <w:sz w:val="20"/>
          <w:szCs w:val="24"/>
        </w:rPr>
        <w:t>’</w:t>
      </w:r>
      <w:r>
        <w:rPr>
          <w:rFonts w:hint="eastAsia" w:ascii="Times New Roman" w:hAnsi="Times New Roman" w:eastAsia="MS Mincho"/>
          <w:bCs/>
          <w:sz w:val="20"/>
          <w:szCs w:val="24"/>
        </w:rPr>
        <w:t xml:space="preserve">s carrier phase of the received PRS. And for UL positioning method, differential operations requires the TRP measures the SRS transmitted by UE and PRU. If UE and PRU measure PRS or transmit SRS at different time slots, the carrier phase differential operator have to wait until all the required measurement results are reported or collected. On the contrary, if </w:t>
      </w:r>
      <w:r>
        <w:rPr>
          <w:rFonts w:ascii="Times New Roman" w:hAnsi="Times New Roman" w:eastAsia="MS Mincho"/>
          <w:bCs/>
          <w:sz w:val="20"/>
          <w:szCs w:val="24"/>
        </w:rPr>
        <w:t>simultaneous measurements/transmissions</w:t>
      </w:r>
      <w:r>
        <w:rPr>
          <w:rFonts w:hint="eastAsia" w:ascii="Times New Roman" w:hAnsi="Times New Roman" w:eastAsia="MS Mincho"/>
          <w:bCs/>
          <w:sz w:val="20"/>
          <w:szCs w:val="24"/>
        </w:rPr>
        <w:t xml:space="preserve"> </w:t>
      </w:r>
      <w:r>
        <w:rPr>
          <w:rFonts w:ascii="Times New Roman" w:hAnsi="Times New Roman" w:eastAsia="MS Mincho"/>
          <w:bCs/>
          <w:sz w:val="20"/>
          <w:szCs w:val="24"/>
        </w:rPr>
        <w:t>for multiple UEs</w:t>
      </w:r>
      <w:r>
        <w:rPr>
          <w:rFonts w:hint="eastAsia" w:ascii="Times New Roman" w:hAnsi="Times New Roman" w:eastAsia="MS Mincho"/>
          <w:bCs/>
          <w:sz w:val="20"/>
          <w:szCs w:val="24"/>
        </w:rPr>
        <w:t xml:space="preserve"> is supported, LMF can calculate the UE</w:t>
      </w:r>
      <w:r>
        <w:rPr>
          <w:rFonts w:ascii="Times New Roman" w:hAnsi="Times New Roman" w:eastAsia="MS Mincho"/>
          <w:bCs/>
          <w:sz w:val="20"/>
          <w:szCs w:val="24"/>
        </w:rPr>
        <w:t>’</w:t>
      </w:r>
      <w:r>
        <w:rPr>
          <w:rFonts w:hint="eastAsia" w:ascii="Times New Roman" w:hAnsi="Times New Roman" w:eastAsia="MS Mincho"/>
          <w:bCs/>
          <w:sz w:val="20"/>
          <w:szCs w:val="24"/>
        </w:rPr>
        <w:t xml:space="preserve">s location once upon receiving the measurement report of UE, PRU and TRP in LMF-based positioning method. For UL positioning, gNB can measure and report the carrier phase as soon as receiving the SRS transmitted by UE and PRU. </w:t>
      </w:r>
    </w:p>
    <w:p>
      <w:pPr>
        <w:snapToGrid w:val="0"/>
        <w:spacing w:after="180" w:afterLines="50" w:line="240" w:lineRule="auto"/>
        <w:jc w:val="both"/>
        <w:rPr>
          <w:rFonts w:ascii="Times New Roman" w:hAnsi="Times New Roman" w:eastAsia="MS Mincho"/>
          <w:bCs/>
          <w:sz w:val="20"/>
          <w:szCs w:val="24"/>
        </w:rPr>
      </w:pPr>
      <w:r>
        <w:rPr>
          <w:rFonts w:hint="eastAsia" w:ascii="Times New Roman" w:hAnsi="Times New Roman" w:eastAsia="MS Mincho"/>
          <w:b/>
          <w:sz w:val="20"/>
          <w:szCs w:val="24"/>
          <w:u w:val="single"/>
        </w:rPr>
        <w:t>Higher positioning accuracy</w:t>
      </w:r>
      <w:r>
        <w:rPr>
          <w:rFonts w:hint="eastAsia" w:ascii="Times New Roman" w:hAnsi="Times New Roman" w:eastAsia="MS Mincho"/>
          <w:bCs/>
          <w:sz w:val="20"/>
          <w:szCs w:val="24"/>
        </w:rPr>
        <w:t xml:space="preserve">: It is more likely that two PRS/SRS carrier phase measurements will have the same time and frequency resources and similar channel environments if UE and PRU can transmit/measure the positioning related signals simultaneously, further improve the practicability of carrier phase differential operation among different PRS/SRS measurement results. If UE and PRU can measure the same PRS instance, the relative timing error, phase error, and measurement error of these two received signals can be minimized, thereby improving positioning accuracy. </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Hence, we have the following </w:t>
      </w:r>
      <w:r>
        <w:rPr>
          <w:rFonts w:hint="eastAsia" w:ascii="Times New Roman" w:hAnsi="Times New Roman"/>
          <w:sz w:val="20"/>
          <w:szCs w:val="20"/>
        </w:rPr>
        <w:t xml:space="preserve">observation: </w:t>
      </w:r>
    </w:p>
    <w:p>
      <w:pPr>
        <w:widowControl w:val="0"/>
        <w:snapToGrid w:val="0"/>
        <w:spacing w:before="180" w:beforeLines="50" w:after="180" w:afterLines="50" w:line="240" w:lineRule="auto"/>
        <w:jc w:val="both"/>
        <w:rPr>
          <w:rFonts w:ascii="Times New Roman" w:hAnsi="Times New Roman"/>
          <w:b/>
          <w:bCs/>
          <w:i/>
          <w:iCs/>
          <w:sz w:val="20"/>
          <w:szCs w:val="20"/>
        </w:rPr>
      </w:pPr>
      <w:bookmarkStart w:id="17" w:name="_Ref20139"/>
      <w:r>
        <w:rPr>
          <w:rFonts w:ascii="Times New Roman" w:hAnsi="Times New Roman"/>
          <w:b/>
          <w:bCs/>
          <w:i/>
          <w:iCs/>
          <w:sz w:val="20"/>
          <w:szCs w:val="20"/>
        </w:rPr>
        <w:t xml:space="preserve">Observation </w:t>
      </w:r>
      <w:r>
        <w:rPr>
          <w:rFonts w:ascii="Times New Roman" w:hAnsi="Times New Roman"/>
          <w:b/>
          <w:bCs/>
          <w:i/>
          <w:iCs/>
          <w:sz w:val="20"/>
          <w:szCs w:val="20"/>
        </w:rPr>
        <w:fldChar w:fldCharType="begin"/>
      </w:r>
      <w:r>
        <w:rPr>
          <w:rFonts w:ascii="Times New Roman" w:hAnsi="Times New Roman"/>
          <w:b/>
          <w:bCs/>
          <w:i/>
          <w:iCs/>
          <w:sz w:val="20"/>
          <w:szCs w:val="20"/>
        </w:rPr>
        <w:instrText xml:space="preserve"> SEQ Observation \* ARABIC </w:instrText>
      </w:r>
      <w:r>
        <w:rPr>
          <w:rFonts w:ascii="Times New Roman" w:hAnsi="Times New Roman"/>
          <w:b/>
          <w:bCs/>
          <w:i/>
          <w:iCs/>
          <w:sz w:val="20"/>
          <w:szCs w:val="20"/>
        </w:rPr>
        <w:fldChar w:fldCharType="separate"/>
      </w:r>
      <w:r>
        <w:rPr>
          <w:rFonts w:ascii="Times New Roman" w:hAnsi="Times New Roman"/>
          <w:b/>
          <w:bCs/>
          <w:i/>
          <w:iCs/>
          <w:sz w:val="20"/>
          <w:szCs w:val="20"/>
        </w:rPr>
        <w:t>1</w:t>
      </w:r>
      <w:r>
        <w:rPr>
          <w:rFonts w:ascii="Times New Roman" w:hAnsi="Times New Roman"/>
          <w:b/>
          <w:bCs/>
          <w:i/>
          <w:iCs/>
          <w:sz w:val="20"/>
          <w:szCs w:val="20"/>
        </w:rPr>
        <w:fldChar w:fldCharType="end"/>
      </w:r>
      <w:r>
        <w:rPr>
          <w:rFonts w:ascii="Times New Roman" w:hAnsi="Times New Roman"/>
          <w:b/>
          <w:bCs/>
          <w:i/>
          <w:iCs/>
          <w:sz w:val="20"/>
          <w:szCs w:val="20"/>
        </w:rPr>
        <w:t xml:space="preserve">: Supporting a mechanism to ensure simultaneous measurements/transmissions for a target UE and a PRU </w:t>
      </w:r>
      <w:r>
        <w:rPr>
          <w:rFonts w:hint="eastAsia" w:ascii="Times New Roman" w:hAnsi="Times New Roman"/>
          <w:b/>
          <w:bCs/>
          <w:i/>
          <w:iCs/>
          <w:sz w:val="20"/>
          <w:szCs w:val="20"/>
        </w:rPr>
        <w:t xml:space="preserve">is beneficial for improving the </w:t>
      </w:r>
      <w:r>
        <w:rPr>
          <w:rFonts w:ascii="Times New Roman" w:hAnsi="Times New Roman"/>
          <w:b/>
          <w:bCs/>
          <w:i/>
          <w:iCs/>
          <w:sz w:val="20"/>
          <w:szCs w:val="20"/>
        </w:rPr>
        <w:t xml:space="preserve">performance </w:t>
      </w:r>
      <w:r>
        <w:rPr>
          <w:rFonts w:hint="eastAsia" w:ascii="Times New Roman" w:hAnsi="Times New Roman"/>
          <w:b/>
          <w:bCs/>
          <w:i/>
          <w:iCs/>
          <w:sz w:val="20"/>
          <w:szCs w:val="20"/>
        </w:rPr>
        <w:t xml:space="preserve">of </w:t>
      </w:r>
      <w:r>
        <w:rPr>
          <w:rFonts w:ascii="Times New Roman" w:hAnsi="Times New Roman"/>
          <w:b/>
          <w:bCs/>
          <w:i/>
          <w:iCs/>
          <w:sz w:val="20"/>
          <w:szCs w:val="20"/>
        </w:rPr>
        <w:t>carrier phase positioning.</w:t>
      </w:r>
      <w:bookmarkEnd w:id="17"/>
    </w:p>
    <w:p>
      <w:pPr>
        <w:snapToGrid w:val="0"/>
        <w:spacing w:after="180" w:afterLines="50" w:line="240" w:lineRule="auto"/>
        <w:jc w:val="both"/>
        <w:rPr>
          <w:rFonts w:ascii="Times New Roman" w:hAnsi="Times New Roman" w:eastAsia="MS Mincho"/>
          <w:bCs/>
          <w:sz w:val="20"/>
          <w:szCs w:val="24"/>
        </w:rPr>
      </w:pPr>
      <w:r>
        <w:rPr>
          <w:rFonts w:hint="eastAsia" w:ascii="Times New Roman" w:hAnsi="Times New Roman" w:eastAsia="MS Mincho"/>
          <w:bCs/>
          <w:sz w:val="20"/>
          <w:szCs w:val="24"/>
        </w:rPr>
        <w:t>It is</w:t>
      </w:r>
      <w:r>
        <w:rPr>
          <w:rFonts w:hint="eastAsia" w:ascii="Times New Roman" w:hAnsi="Times New Roman" w:eastAsia="宋体"/>
          <w:bCs/>
          <w:sz w:val="20"/>
          <w:szCs w:val="24"/>
          <w:lang w:val="en-US" w:eastAsia="zh-CN"/>
        </w:rPr>
        <w:t xml:space="preserve"> also</w:t>
      </w:r>
      <w:r>
        <w:rPr>
          <w:rFonts w:hint="eastAsia" w:ascii="Times New Roman" w:hAnsi="Times New Roman" w:eastAsia="MS Mincho"/>
          <w:bCs/>
          <w:sz w:val="20"/>
          <w:szCs w:val="24"/>
        </w:rPr>
        <w:t xml:space="preserve"> observed that s</w:t>
      </w:r>
      <w:r>
        <w:rPr>
          <w:rFonts w:ascii="Times New Roman" w:hAnsi="Times New Roman" w:eastAsia="MS Mincho"/>
          <w:bCs/>
          <w:sz w:val="20"/>
          <w:szCs w:val="24"/>
        </w:rPr>
        <w:t xml:space="preserve">imultaneous measurements/transmissions for a target UE and a PRU </w:t>
      </w:r>
      <w:r>
        <w:rPr>
          <w:rFonts w:hint="eastAsia" w:ascii="Times New Roman" w:hAnsi="Times New Roman" w:eastAsia="MS Mincho"/>
          <w:bCs/>
          <w:sz w:val="20"/>
          <w:szCs w:val="24"/>
        </w:rPr>
        <w:t xml:space="preserve">is beneficial for improving the </w:t>
      </w:r>
      <w:r>
        <w:rPr>
          <w:rFonts w:ascii="Times New Roman" w:hAnsi="Times New Roman" w:eastAsia="MS Mincho"/>
          <w:bCs/>
          <w:sz w:val="20"/>
          <w:szCs w:val="24"/>
        </w:rPr>
        <w:t xml:space="preserve">performance </w:t>
      </w:r>
      <w:r>
        <w:rPr>
          <w:rFonts w:hint="eastAsia" w:ascii="Times New Roman" w:hAnsi="Times New Roman" w:eastAsia="MS Mincho"/>
          <w:bCs/>
          <w:sz w:val="20"/>
          <w:szCs w:val="24"/>
        </w:rPr>
        <w:t xml:space="preserve">of </w:t>
      </w:r>
      <w:r>
        <w:rPr>
          <w:rFonts w:hint="eastAsia" w:ascii="Times New Roman" w:hAnsi="Times New Roman" w:eastAsia="宋体"/>
          <w:bCs/>
          <w:sz w:val="20"/>
          <w:szCs w:val="24"/>
          <w:lang w:val="en-US" w:eastAsia="zh-CN"/>
        </w:rPr>
        <w:t>timing based positioning methods</w:t>
      </w:r>
      <w:r>
        <w:rPr>
          <w:rFonts w:ascii="Times New Roman" w:hAnsi="Times New Roman" w:eastAsia="MS Mincho"/>
          <w:bCs/>
          <w:sz w:val="20"/>
          <w:szCs w:val="24"/>
        </w:rPr>
        <w:t>.</w:t>
      </w:r>
      <w:r>
        <w:rPr>
          <w:rFonts w:hint="eastAsia" w:ascii="Times New Roman" w:hAnsi="Times New Roman" w:eastAsia="MS Mincho"/>
          <w:bCs/>
          <w:sz w:val="20"/>
          <w:szCs w:val="24"/>
        </w:rPr>
        <w:t xml:space="preserve"> But the current </w:t>
      </w:r>
      <w:r>
        <w:rPr>
          <w:rFonts w:ascii="Times New Roman" w:hAnsi="Times New Roman" w:eastAsia="MS Mincho"/>
          <w:bCs/>
          <w:sz w:val="20"/>
          <w:szCs w:val="24"/>
        </w:rPr>
        <w:t>RAN1 specifications do not support</w:t>
      </w:r>
      <w:r>
        <w:rPr>
          <w:rFonts w:hint="eastAsia" w:ascii="Times New Roman" w:hAnsi="Times New Roman" w:eastAsia="MS Mincho"/>
          <w:bCs/>
          <w:sz w:val="20"/>
          <w:szCs w:val="24"/>
        </w:rPr>
        <w:t xml:space="preserve"> such</w:t>
      </w:r>
      <w:r>
        <w:rPr>
          <w:rFonts w:ascii="Times New Roman" w:hAnsi="Times New Roman" w:eastAsia="MS Mincho"/>
          <w:bCs/>
          <w:sz w:val="20"/>
          <w:szCs w:val="24"/>
        </w:rPr>
        <w:t xml:space="preserve"> a mechanism</w:t>
      </w:r>
      <w:r>
        <w:rPr>
          <w:rFonts w:hint="eastAsia" w:ascii="Times New Roman" w:hAnsi="Times New Roman" w:eastAsia="MS Mincho"/>
          <w:bCs/>
          <w:sz w:val="20"/>
          <w:szCs w:val="24"/>
        </w:rPr>
        <w:t xml:space="preserve">, so there should be some enhancements to allow the UE and PRU measure/transmit positioning related signals to enable double differential </w:t>
      </w:r>
      <w:r>
        <w:rPr>
          <w:rFonts w:hint="eastAsia" w:ascii="Times New Roman" w:hAnsi="Times New Roman" w:eastAsia="宋体"/>
          <w:bCs/>
          <w:sz w:val="20"/>
          <w:szCs w:val="24"/>
          <w:lang w:val="en-US" w:eastAsia="zh-CN"/>
        </w:rPr>
        <w:t>operations</w:t>
      </w:r>
      <w:r>
        <w:rPr>
          <w:rFonts w:hint="eastAsia" w:ascii="Times New Roman" w:hAnsi="Times New Roman" w:eastAsia="MS Mincho"/>
          <w:bCs/>
          <w:sz w:val="20"/>
          <w:szCs w:val="24"/>
        </w:rPr>
        <w:t>. Towards this requirement, we have the following potential enhancements:</w:t>
      </w:r>
    </w:p>
    <w:p>
      <w:pPr>
        <w:pStyle w:val="5"/>
        <w:numPr>
          <w:ilvl w:val="1"/>
          <w:numId w:val="0"/>
        </w:numPr>
        <w:spacing w:before="10" w:after="180" w:afterLines="50"/>
        <w:ind w:left="220" w:leftChars="100"/>
        <w:rPr>
          <w:sz w:val="21"/>
          <w:szCs w:val="21"/>
          <w:lang w:val="en-US"/>
        </w:rPr>
      </w:pPr>
      <w:r>
        <w:rPr>
          <w:rFonts w:hint="eastAsia"/>
          <w:sz w:val="21"/>
          <w:szCs w:val="21"/>
          <w:lang w:val="en-US"/>
        </w:rPr>
        <w:t xml:space="preserve">2.3.3.1 </w:t>
      </w:r>
      <w:r>
        <w:rPr>
          <w:rFonts w:hint="eastAsia" w:eastAsia="MS Mincho"/>
          <w:sz w:val="20"/>
          <w:szCs w:val="24"/>
          <w:lang w:val="en-US"/>
        </w:rPr>
        <w:t>DL enhancement on PRU procedure</w:t>
      </w:r>
    </w:p>
    <w:p>
      <w:pPr>
        <w:snapToGrid w:val="0"/>
        <w:spacing w:before="180" w:beforeLines="50" w:after="180" w:afterLines="50" w:line="240" w:lineRule="auto"/>
        <w:jc w:val="both"/>
        <w:rPr>
          <w:rFonts w:ascii="Times New Roman" w:hAnsi="Times New Roman" w:eastAsia="MS Mincho"/>
          <w:bCs/>
          <w:sz w:val="20"/>
          <w:szCs w:val="24"/>
        </w:rPr>
      </w:pPr>
      <w:r>
        <w:rPr>
          <w:rFonts w:hint="eastAsia" w:ascii="Times New Roman" w:hAnsi="Times New Roman" w:eastAsia="MS Mincho"/>
          <w:bCs/>
          <w:sz w:val="20"/>
          <w:szCs w:val="24"/>
        </w:rPr>
        <w:t xml:space="preserve">LMF can configure the same measurement time slot(s)/window(s) for PRU and UE, which indicates when the PRS should be measured. If the PRS configuration details is transmitted in LPP from LMF to PRU and UE, the two PRS receivers will know the exact PRS transmission occasions. Furthermore, if the same measurement time slots/windows is configured for PRU and UE, these two terminals can measure the PRS </w:t>
      </w:r>
      <w:r>
        <w:rPr>
          <w:rFonts w:ascii="Times New Roman" w:hAnsi="Times New Roman" w:eastAsia="MS Mincho"/>
          <w:bCs/>
          <w:sz w:val="20"/>
          <w:szCs w:val="24"/>
        </w:rPr>
        <w:t>simultaneous</w:t>
      </w:r>
      <w:r>
        <w:rPr>
          <w:rFonts w:hint="eastAsia" w:ascii="Times New Roman" w:hAnsi="Times New Roman" w:eastAsia="MS Mincho"/>
          <w:bCs/>
          <w:sz w:val="20"/>
          <w:szCs w:val="24"/>
        </w:rPr>
        <w:t xml:space="preserve">ly as configured. </w:t>
      </w:r>
    </w:p>
    <w:p>
      <w:pPr>
        <w:snapToGrid w:val="0"/>
        <w:spacing w:before="180" w:beforeLines="50" w:after="180" w:afterLines="50" w:line="240" w:lineRule="auto"/>
        <w:jc w:val="both"/>
        <w:rPr>
          <w:rFonts w:ascii="Times New Roman" w:hAnsi="Times New Roman" w:eastAsia="MS Mincho"/>
          <w:bCs/>
          <w:sz w:val="20"/>
          <w:szCs w:val="24"/>
        </w:rPr>
      </w:pPr>
      <w:r>
        <w:rPr>
          <w:rFonts w:hint="eastAsia" w:ascii="Times New Roman" w:hAnsi="Times New Roman" w:eastAsia="MS Mincho"/>
          <w:bCs/>
          <w:sz w:val="20"/>
          <w:szCs w:val="24"/>
        </w:rPr>
        <w:t>In current specifications, PRU and UE can specify a PRS resource by identifying the exact PRS resource ID, but PRS is usually transmitted periodically, UE cannot specify the exact PRS instance with the configured information. If LMF can configure the same PRS instance to be measured, PRU and UE can measure the same PRS instance(s), further minimizing the relative timing error, phase error, etc., on carrier phase positioning.</w:t>
      </w:r>
    </w:p>
    <w:p>
      <w:pPr>
        <w:snapToGrid w:val="0"/>
        <w:spacing w:before="180" w:beforeLines="50" w:after="180" w:afterLines="50" w:line="240" w:lineRule="auto"/>
        <w:jc w:val="both"/>
        <w:rPr>
          <w:rFonts w:ascii="Times New Roman" w:hAnsi="Times New Roman" w:eastAsia="MS Mincho"/>
          <w:bCs/>
          <w:sz w:val="20"/>
          <w:szCs w:val="24"/>
        </w:rPr>
      </w:pPr>
      <w:r>
        <w:rPr>
          <w:rFonts w:hint="eastAsia" w:ascii="Times New Roman" w:hAnsi="Times New Roman" w:eastAsia="MS Mincho"/>
          <w:bCs/>
          <w:sz w:val="20"/>
          <w:szCs w:val="24"/>
        </w:rPr>
        <w:t>Hence, we have the following proposal:</w:t>
      </w:r>
    </w:p>
    <w:p>
      <w:pPr>
        <w:widowControl w:val="0"/>
        <w:snapToGrid w:val="0"/>
        <w:spacing w:after="0" w:line="240" w:lineRule="auto"/>
        <w:jc w:val="both"/>
        <w:rPr>
          <w:rFonts w:ascii="Times New Roman" w:hAnsi="Times New Roman"/>
          <w:b/>
          <w:bCs/>
          <w:i/>
          <w:iCs/>
          <w:sz w:val="20"/>
          <w:szCs w:val="20"/>
        </w:rPr>
      </w:pPr>
      <w:bookmarkStart w:id="18" w:name="_Ref18330"/>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8</w:t>
      </w:r>
      <w:r>
        <w:rPr>
          <w:rFonts w:ascii="Times New Roman" w:hAnsi="Times New Roman"/>
          <w:b/>
          <w:bCs/>
          <w:i/>
          <w:iCs/>
          <w:sz w:val="20"/>
          <w:szCs w:val="20"/>
        </w:rPr>
        <w:fldChar w:fldCharType="end"/>
      </w:r>
      <w:r>
        <w:rPr>
          <w:rFonts w:hint="eastAsia" w:ascii="Times New Roman" w:hAnsi="Times New Roman"/>
          <w:b/>
          <w:bCs/>
          <w:i/>
          <w:iCs/>
          <w:sz w:val="20"/>
          <w:szCs w:val="20"/>
        </w:rPr>
        <w:t>: For s</w:t>
      </w:r>
      <w:r>
        <w:rPr>
          <w:rFonts w:ascii="Times New Roman" w:hAnsi="Times New Roman"/>
          <w:b/>
          <w:bCs/>
          <w:i/>
          <w:iCs/>
          <w:sz w:val="20"/>
          <w:szCs w:val="20"/>
        </w:rPr>
        <w:t xml:space="preserve">upporting a mechanism to ensure simultaneous measurements </w:t>
      </w:r>
      <w:r>
        <w:rPr>
          <w:rFonts w:hint="eastAsia" w:ascii="Times New Roman" w:hAnsi="Times New Roman"/>
          <w:b/>
          <w:bCs/>
          <w:i/>
          <w:iCs/>
          <w:sz w:val="20"/>
          <w:szCs w:val="20"/>
        </w:rPr>
        <w:t xml:space="preserve">of DL PRS </w:t>
      </w:r>
      <w:r>
        <w:rPr>
          <w:rFonts w:ascii="Times New Roman" w:hAnsi="Times New Roman"/>
          <w:b/>
          <w:bCs/>
          <w:i/>
          <w:iCs/>
          <w:sz w:val="20"/>
          <w:szCs w:val="20"/>
        </w:rPr>
        <w:t>for a target UE and a PRU</w:t>
      </w:r>
      <w:r>
        <w:rPr>
          <w:rFonts w:hint="eastAsia" w:ascii="Times New Roman" w:hAnsi="Times New Roman"/>
          <w:b/>
          <w:bCs/>
          <w:i/>
          <w:iCs/>
          <w:sz w:val="20"/>
          <w:szCs w:val="20"/>
        </w:rPr>
        <w:t>, the following options can be supported:</w:t>
      </w:r>
      <w:bookmarkEnd w:id="18"/>
    </w:p>
    <w:p>
      <w:pPr>
        <w:widowControl w:val="0"/>
        <w:snapToGrid w:val="0"/>
        <w:spacing w:after="0" w:line="240" w:lineRule="auto"/>
        <w:ind w:firstLine="720" w:firstLineChars="0"/>
        <w:jc w:val="both"/>
        <w:rPr>
          <w:rFonts w:ascii="Times New Roman" w:hAnsi="Times New Roman"/>
          <w:b/>
          <w:bCs/>
          <w:i/>
          <w:iCs/>
          <w:sz w:val="20"/>
          <w:szCs w:val="20"/>
        </w:rPr>
      </w:pPr>
      <w:r>
        <w:rPr>
          <w:rFonts w:hint="eastAsia" w:ascii="Times New Roman" w:hAnsi="Times New Roman"/>
          <w:b/>
          <w:bCs/>
          <w:i/>
          <w:iCs/>
          <w:sz w:val="20"/>
          <w:szCs w:val="20"/>
        </w:rPr>
        <w:t>-LMF configures the same measurement time slot(s)/window(s) for PRU and UE.</w:t>
      </w:r>
    </w:p>
    <w:p>
      <w:pPr>
        <w:widowControl w:val="0"/>
        <w:snapToGrid w:val="0"/>
        <w:spacing w:after="0" w:line="240" w:lineRule="auto"/>
        <w:ind w:firstLine="720" w:firstLineChars="0"/>
        <w:jc w:val="both"/>
        <w:rPr>
          <w:rFonts w:ascii="Times New Roman" w:hAnsi="Times New Roman"/>
          <w:b/>
          <w:bCs/>
          <w:i/>
          <w:iCs/>
          <w:sz w:val="20"/>
          <w:szCs w:val="20"/>
        </w:rPr>
      </w:pPr>
      <w:r>
        <w:rPr>
          <w:rFonts w:hint="eastAsia" w:ascii="Times New Roman" w:hAnsi="Times New Roman"/>
          <w:b/>
          <w:bCs/>
          <w:i/>
          <w:iCs/>
          <w:sz w:val="20"/>
          <w:szCs w:val="20"/>
        </w:rPr>
        <w:t>-LMF configures the same PRS instance(s) to be measured by PRU and UE.</w:t>
      </w:r>
    </w:p>
    <w:p>
      <w:pPr>
        <w:snapToGrid w:val="0"/>
        <w:spacing w:before="180" w:beforeLines="50" w:after="180" w:afterLines="50" w:line="240" w:lineRule="auto"/>
        <w:jc w:val="both"/>
        <w:rPr>
          <w:rFonts w:ascii="Times New Roman" w:hAnsi="Times New Roman" w:eastAsia="MS Mincho"/>
          <w:bCs/>
          <w:sz w:val="20"/>
          <w:szCs w:val="24"/>
        </w:rPr>
      </w:pPr>
      <w:r>
        <w:rPr>
          <w:rFonts w:hint="eastAsia" w:ascii="Times New Roman" w:hAnsi="Times New Roman" w:eastAsia="MS Mincho"/>
          <w:bCs/>
          <w:sz w:val="20"/>
          <w:szCs w:val="24"/>
        </w:rPr>
        <w:t xml:space="preserve">Note that the number of configured time slots/windows or PRS instances should take </w:t>
      </w:r>
      <m:oMath>
        <m:sSub>
          <m:sSubPr>
            <m:ctrlPr>
              <w:rPr>
                <w:rFonts w:hint="eastAsia" w:ascii="Cambria Math" w:hAnsi="Cambria Math" w:eastAsia="MS Mincho"/>
                <w:bCs/>
                <w:sz w:val="20"/>
                <w:szCs w:val="24"/>
              </w:rPr>
            </m:ctrlPr>
          </m:sSubPr>
          <m:e>
            <m:r>
              <m:rPr>
                <m:sty m:val="p"/>
              </m:rPr>
              <w:rPr>
                <w:rFonts w:hint="eastAsia" w:ascii="Cambria Math" w:hAnsi="Cambria Math" w:eastAsia="MS Mincho"/>
                <w:sz w:val="20"/>
                <w:szCs w:val="24"/>
              </w:rPr>
              <m:t>N</m:t>
            </m:r>
            <m:ctrlPr>
              <w:rPr>
                <w:rFonts w:hint="eastAsia" w:ascii="Cambria Math" w:hAnsi="Cambria Math" w:eastAsia="MS Mincho"/>
                <w:bCs/>
                <w:sz w:val="20"/>
                <w:szCs w:val="24"/>
              </w:rPr>
            </m:ctrlPr>
          </m:e>
          <m:sub>
            <m:r>
              <m:rPr>
                <m:sty m:val="p"/>
              </m:rPr>
              <w:rPr>
                <w:rFonts w:hint="eastAsia" w:ascii="Cambria Math" w:hAnsi="Cambria Math" w:eastAsia="MS Mincho"/>
                <w:sz w:val="20"/>
                <w:szCs w:val="24"/>
              </w:rPr>
              <m:t>sample</m:t>
            </m:r>
            <m:ctrlPr>
              <w:rPr>
                <w:rFonts w:hint="eastAsia" w:ascii="Cambria Math" w:hAnsi="Cambria Math" w:eastAsia="MS Mincho"/>
                <w:bCs/>
                <w:sz w:val="20"/>
                <w:szCs w:val="24"/>
              </w:rPr>
            </m:ctrlPr>
          </m:sub>
        </m:sSub>
      </m:oMath>
      <w:r>
        <w:rPr>
          <w:rFonts w:hint="eastAsia" w:ascii="Times New Roman" w:hAnsi="Times New Roman" w:eastAsia="MS Mincho"/>
          <w:bCs/>
          <w:sz w:val="20"/>
          <w:szCs w:val="24"/>
        </w:rPr>
        <w:t xml:space="preserve"> into account, which indicates the number of measurement samples.</w:t>
      </w:r>
    </w:p>
    <w:p>
      <w:pPr>
        <w:pStyle w:val="5"/>
        <w:numPr>
          <w:ilvl w:val="1"/>
          <w:numId w:val="0"/>
        </w:numPr>
        <w:spacing w:before="10" w:after="180" w:afterLines="50"/>
        <w:ind w:left="220" w:leftChars="100"/>
        <w:rPr>
          <w:sz w:val="21"/>
          <w:szCs w:val="21"/>
          <w:lang w:val="en-US"/>
        </w:rPr>
      </w:pPr>
      <w:r>
        <w:rPr>
          <w:rFonts w:hint="eastAsia"/>
          <w:sz w:val="21"/>
          <w:szCs w:val="21"/>
          <w:lang w:val="en-US"/>
        </w:rPr>
        <w:t xml:space="preserve">2.3.3.2 </w:t>
      </w:r>
      <w:r>
        <w:rPr>
          <w:rFonts w:hint="eastAsia" w:eastAsia="MS Mincho"/>
          <w:sz w:val="20"/>
          <w:szCs w:val="24"/>
          <w:lang w:val="en-US"/>
        </w:rPr>
        <w:t>UL enhancement on PRU procedure</w:t>
      </w:r>
    </w:p>
    <w:p>
      <w:pPr>
        <w:snapToGrid w:val="0"/>
        <w:spacing w:after="180" w:afterLines="50" w:line="240" w:lineRule="auto"/>
        <w:jc w:val="both"/>
        <w:rPr>
          <w:rFonts w:hint="eastAsia" w:ascii="Times New Roman" w:hAnsi="Times New Roman" w:eastAsia="宋体"/>
          <w:bCs/>
          <w:sz w:val="20"/>
          <w:szCs w:val="24"/>
          <w:lang w:val="en-US" w:eastAsia="zh-CN"/>
        </w:rPr>
      </w:pPr>
      <w:r>
        <w:rPr>
          <w:rFonts w:hint="eastAsia" w:ascii="Times New Roman" w:hAnsi="Times New Roman" w:eastAsia="MS Mincho"/>
          <w:bCs/>
          <w:sz w:val="20"/>
          <w:szCs w:val="24"/>
        </w:rPr>
        <w:t>For UL enhancement on PRU procedures, on one hand, gNB can configure the same slot offset(s) towards PRU and UE for SRS transmission. In this way, PRU and UE can transmit the SRS for positioning as configured</w:t>
      </w:r>
      <w:r>
        <w:rPr>
          <w:rFonts w:hint="eastAsia" w:ascii="Times New Roman" w:hAnsi="Times New Roman" w:eastAsia="宋体"/>
          <w:bCs/>
          <w:sz w:val="20"/>
          <w:szCs w:val="24"/>
          <w:lang w:val="en-US" w:eastAsia="zh-CN"/>
        </w:rPr>
        <w:t xml:space="preserve"> for periodic or semi-persistent SRS</w:t>
      </w:r>
      <w:r>
        <w:rPr>
          <w:rFonts w:hint="eastAsia" w:ascii="Times New Roman" w:hAnsi="Times New Roman" w:eastAsia="MS Mincho"/>
          <w:bCs/>
          <w:sz w:val="20"/>
          <w:szCs w:val="24"/>
        </w:rPr>
        <w:t xml:space="preserve">. On the other hand, gNB can trigger the positioning SRS transmission for PRU and UE through other downlink signalling. PRU and UE can start the SRS for positioning transmission once upon receive the trigger information. </w:t>
      </w:r>
      <w:r>
        <w:rPr>
          <w:rFonts w:hint="eastAsia" w:ascii="Times New Roman" w:hAnsi="Times New Roman" w:eastAsia="宋体"/>
          <w:bCs/>
          <w:sz w:val="20"/>
          <w:szCs w:val="24"/>
          <w:lang w:val="en-US" w:eastAsia="zh-CN"/>
        </w:rPr>
        <w:t xml:space="preserve">It is up to gNB implementation to ensure the simultaneous SRS triggering/activation from PRU and a target UE. No spec impact is expected in our view. </w:t>
      </w:r>
    </w:p>
    <w:p>
      <w:pPr>
        <w:snapToGrid w:val="0"/>
        <w:spacing w:after="180" w:afterLines="50" w:line="240" w:lineRule="auto"/>
        <w:jc w:val="both"/>
        <w:rPr>
          <w:rFonts w:hint="eastAsia" w:ascii="Times New Roman" w:hAnsi="Times New Roman" w:eastAsia="MS Mincho"/>
          <w:bCs/>
          <w:sz w:val="20"/>
          <w:szCs w:val="24"/>
        </w:rPr>
      </w:pPr>
      <w:r>
        <w:rPr>
          <w:rFonts w:hint="eastAsia" w:ascii="Times New Roman" w:hAnsi="Times New Roman" w:eastAsia="宋体"/>
          <w:bCs/>
          <w:sz w:val="20"/>
          <w:szCs w:val="24"/>
          <w:lang w:val="en-US" w:eastAsia="zh-CN"/>
        </w:rPr>
        <w:t xml:space="preserve">The key point is how to let gNB know in which slot(s) SRS from both PRU and the target UE should be transmitted. Hence, NRPPa signaling should be enhanced accordingly. For instance, LMF can recommend/request a list of slots or slot offsets or even time windows for potential SRS transmission, where the recommended/requested list of slots/slot offsets/windows can be the same for PRU and the target UE to suggest the simultaneous SRS triggering/activation/transmission.  </w:t>
      </w:r>
    </w:p>
    <w:p>
      <w:pPr>
        <w:snapToGrid w:val="0"/>
        <w:spacing w:after="180" w:afterLines="50" w:line="240" w:lineRule="auto"/>
        <w:jc w:val="both"/>
        <w:rPr>
          <w:rFonts w:ascii="Times New Roman" w:hAnsi="Times New Roman" w:eastAsia="MS Mincho"/>
          <w:bCs/>
          <w:sz w:val="20"/>
          <w:szCs w:val="24"/>
        </w:rPr>
      </w:pPr>
      <w:r>
        <w:rPr>
          <w:rFonts w:hint="eastAsia" w:ascii="Times New Roman" w:hAnsi="Times New Roman" w:eastAsia="MS Mincho"/>
          <w:bCs/>
          <w:sz w:val="20"/>
          <w:szCs w:val="24"/>
        </w:rPr>
        <w:t>Hence, we have the following proposal:</w:t>
      </w:r>
    </w:p>
    <w:p>
      <w:pPr>
        <w:widowControl w:val="0"/>
        <w:snapToGrid w:val="0"/>
        <w:spacing w:after="0" w:line="240" w:lineRule="auto"/>
        <w:jc w:val="both"/>
        <w:rPr>
          <w:rFonts w:hint="eastAsia" w:ascii="Times New Roman" w:hAnsi="Times New Roman"/>
          <w:b/>
          <w:bCs/>
          <w:i/>
          <w:iCs/>
          <w:sz w:val="20"/>
          <w:szCs w:val="20"/>
          <w:lang w:val="en-US" w:eastAsia="zh-CN"/>
        </w:rPr>
      </w:pPr>
      <w:bookmarkStart w:id="19" w:name="_Ref18336"/>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9</w:t>
      </w:r>
      <w:r>
        <w:rPr>
          <w:rFonts w:ascii="Times New Roman" w:hAnsi="Times New Roman"/>
          <w:b/>
          <w:bCs/>
          <w:i/>
          <w:iCs/>
          <w:sz w:val="20"/>
          <w:szCs w:val="20"/>
        </w:rPr>
        <w:fldChar w:fldCharType="end"/>
      </w:r>
      <w:r>
        <w:rPr>
          <w:rFonts w:hint="eastAsia" w:ascii="Times New Roman" w:hAnsi="Times New Roman"/>
          <w:b/>
          <w:bCs/>
          <w:i/>
          <w:iCs/>
          <w:sz w:val="20"/>
          <w:szCs w:val="20"/>
        </w:rPr>
        <w:t>: For s</w:t>
      </w:r>
      <w:r>
        <w:rPr>
          <w:rFonts w:ascii="Times New Roman" w:hAnsi="Times New Roman"/>
          <w:b/>
          <w:bCs/>
          <w:i/>
          <w:iCs/>
          <w:sz w:val="20"/>
          <w:szCs w:val="20"/>
        </w:rPr>
        <w:t>upporting a mechanism to ensure simultaneous transmissions</w:t>
      </w:r>
      <w:r>
        <w:rPr>
          <w:rFonts w:hint="eastAsia" w:ascii="Times New Roman" w:hAnsi="Times New Roman"/>
          <w:b/>
          <w:bCs/>
          <w:i/>
          <w:iCs/>
          <w:sz w:val="20"/>
          <w:szCs w:val="20"/>
        </w:rPr>
        <w:t xml:space="preserve"> of UL SRS </w:t>
      </w:r>
      <w:r>
        <w:rPr>
          <w:rFonts w:ascii="Times New Roman" w:hAnsi="Times New Roman"/>
          <w:b/>
          <w:bCs/>
          <w:i/>
          <w:iCs/>
          <w:sz w:val="20"/>
          <w:szCs w:val="20"/>
        </w:rPr>
        <w:t>for a target UE and a PRU</w:t>
      </w:r>
      <w:r>
        <w:rPr>
          <w:rFonts w:hint="eastAsia" w:ascii="Times New Roman" w:hAnsi="Times New Roman"/>
          <w:b/>
          <w:bCs/>
          <w:i/>
          <w:iCs/>
          <w:sz w:val="20"/>
          <w:szCs w:val="20"/>
          <w:lang w:val="en-US" w:eastAsia="zh-CN"/>
        </w:rPr>
        <w:t>, LMF can request a list of slots or windows for SRS transmission.</w:t>
      </w:r>
    </w:p>
    <w:bookmarkEnd w:id="19"/>
    <w:p>
      <w:pPr>
        <w:pStyle w:val="3"/>
        <w:snapToGrid w:val="0"/>
        <w:spacing w:line="240" w:lineRule="auto"/>
        <w:rPr>
          <w:sz w:val="24"/>
          <w:szCs w:val="24"/>
        </w:rPr>
      </w:pPr>
      <w:r>
        <w:rPr>
          <w:rFonts w:hint="eastAsia"/>
          <w:sz w:val="24"/>
          <w:szCs w:val="24"/>
        </w:rPr>
        <w:t>Multiple sub-carrier</w:t>
      </w:r>
      <w:r>
        <w:rPr>
          <w:rFonts w:hint="eastAsia"/>
          <w:sz w:val="24"/>
          <w:szCs w:val="24"/>
          <w:lang w:val="en-US"/>
        </w:rPr>
        <w:t>s</w:t>
      </w:r>
      <w:r>
        <w:rPr>
          <w:rFonts w:hint="eastAsia"/>
          <w:sz w:val="24"/>
          <w:szCs w:val="24"/>
        </w:rPr>
        <w:t xml:space="preserve"> phase measurement</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described in </w:t>
      </w:r>
      <w:r>
        <w:rPr>
          <w:rFonts w:hint="eastAsia" w:ascii="Times New Roman" w:hAnsi="Times New Roman"/>
          <w:sz w:val="20"/>
          <w:szCs w:val="20"/>
          <w:lang w:val="en-US" w:eastAsia="zh-CN"/>
        </w:rPr>
        <w:t xml:space="preserve">our previous </w:t>
      </w:r>
      <w:r>
        <w:rPr>
          <w:rFonts w:hint="eastAsia" w:ascii="Times New Roman" w:hAnsi="Times New Roman"/>
          <w:sz w:val="20"/>
          <w:szCs w:val="20"/>
          <w:lang w:eastAsia="zh-CN"/>
        </w:rPr>
        <w:t>contributions [3,4]</w:t>
      </w:r>
      <w:r>
        <w:rPr>
          <w:rFonts w:hint="eastAsia" w:ascii="Times New Roman" w:hAnsi="Times New Roman"/>
          <w:sz w:val="20"/>
          <w:szCs w:val="20"/>
        </w:rPr>
        <w:t xml:space="preserve">, the carrier phase estimation error, PCO, ARP error, etc., may affect the carrier phase positioning accuracy. Single carrier phase measurement may result in some accidental errors/positioning error, further deteriorate the positioning performance. The simulation results in our previous contributions [3,4] show that the carrier phase from multiple sub-carriers in one carrier/PFL can improve performance compared with TDOA concerning the initial random phase. And dual differential carrier phase can mitigate the positioning side effects brought by ARP error. All of these verified that multiple phase measurement is beneficial for </w:t>
      </w:r>
      <w:r>
        <w:rPr>
          <w:rFonts w:hint="eastAsia" w:ascii="Times New Roman" w:hAnsi="Times New Roman"/>
          <w:sz w:val="20"/>
          <w:szCs w:val="20"/>
          <w:lang w:val="en-US" w:eastAsia="zh-CN"/>
        </w:rPr>
        <w:t xml:space="preserve">improving </w:t>
      </w:r>
      <w:r>
        <w:rPr>
          <w:rFonts w:hint="eastAsia" w:ascii="Times New Roman" w:hAnsi="Times New Roman"/>
          <w:sz w:val="20"/>
          <w:szCs w:val="20"/>
        </w:rPr>
        <w:t xml:space="preserve">the positioning accuracy.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another perspective, in carrier phase positioning procedure, e</w:t>
      </w:r>
      <w:r>
        <w:rPr>
          <w:rFonts w:ascii="Times New Roman" w:hAnsi="Times New Roman"/>
          <w:sz w:val="20"/>
          <w:szCs w:val="20"/>
        </w:rPr>
        <w:t xml:space="preserve">ach sub-carrier has its own carrier phase (Φ, fractional part). The </w:t>
      </w:r>
      <w:r>
        <w:rPr>
          <w:rFonts w:hint="eastAsia" w:ascii="Times New Roman" w:hAnsi="Times New Roman"/>
          <w:sz w:val="20"/>
          <w:szCs w:val="20"/>
        </w:rPr>
        <w:t xml:space="preserve">carrier phase </w:t>
      </w:r>
      <w:r>
        <w:rPr>
          <w:rFonts w:ascii="Times New Roman" w:hAnsi="Times New Roman"/>
          <w:sz w:val="20"/>
          <w:szCs w:val="20"/>
        </w:rPr>
        <w:t xml:space="preserve">of the center sub-carrier </w:t>
      </w:r>
      <w:r>
        <w:rPr>
          <w:rFonts w:hint="eastAsia" w:ascii="Times New Roman" w:hAnsi="Times New Roman"/>
          <w:sz w:val="20"/>
          <w:szCs w:val="20"/>
        </w:rPr>
        <w:t xml:space="preserve">could </w:t>
      </w:r>
      <w:r>
        <w:rPr>
          <w:rFonts w:ascii="Times New Roman" w:hAnsi="Times New Roman"/>
          <w:sz w:val="20"/>
          <w:szCs w:val="20"/>
        </w:rPr>
        <w:t xml:space="preserve">represent </w:t>
      </w:r>
      <w:r>
        <w:rPr>
          <w:rFonts w:hint="eastAsia" w:ascii="Times New Roman" w:hAnsi="Times New Roman"/>
          <w:sz w:val="20"/>
          <w:szCs w:val="20"/>
        </w:rPr>
        <w:t xml:space="preserve">the carrier phase </w:t>
      </w:r>
      <w:r>
        <w:rPr>
          <w:rFonts w:ascii="Times New Roman" w:hAnsi="Times New Roman"/>
          <w:sz w:val="20"/>
          <w:szCs w:val="20"/>
        </w:rPr>
        <w:t>of the whole carrier</w:t>
      </w:r>
      <w:r>
        <w:rPr>
          <w:rFonts w:hint="eastAsia" w:ascii="Times New Roman" w:hAnsi="Times New Roman"/>
          <w:sz w:val="20"/>
          <w:szCs w:val="20"/>
        </w:rPr>
        <w:t>/PFL</w:t>
      </w:r>
      <w:r>
        <w:rPr>
          <w:rFonts w:ascii="Times New Roman" w:hAnsi="Times New Roman"/>
          <w:sz w:val="20"/>
          <w:szCs w:val="20"/>
        </w:rPr>
        <w:t>.</w:t>
      </w:r>
      <w:r>
        <w:rPr>
          <w:rFonts w:hint="eastAsia" w:ascii="Times New Roman" w:hAnsi="Times New Roman"/>
          <w:sz w:val="20"/>
          <w:szCs w:val="20"/>
        </w:rPr>
        <w:t xml:space="preserve"> To support multiple sub-carrier phase measurement, a</w:t>
      </w:r>
      <w:r>
        <w:rPr>
          <w:rFonts w:ascii="Times New Roman" w:hAnsi="Times New Roman"/>
          <w:sz w:val="20"/>
          <w:szCs w:val="20"/>
        </w:rPr>
        <w:t xml:space="preserve"> </w:t>
      </w:r>
      <w:r>
        <w:rPr>
          <w:rFonts w:hint="eastAsia" w:ascii="Times New Roman" w:hAnsi="Times New Roman"/>
          <w:sz w:val="20"/>
          <w:szCs w:val="20"/>
        </w:rPr>
        <w:t xml:space="preserve">positioning carrier/PFL </w:t>
      </w:r>
      <w:r>
        <w:rPr>
          <w:rFonts w:ascii="Times New Roman" w:hAnsi="Times New Roman"/>
          <w:sz w:val="20"/>
          <w:szCs w:val="20"/>
        </w:rPr>
        <w:t xml:space="preserve">can be divided into several </w:t>
      </w:r>
      <w:r>
        <w:rPr>
          <w:rFonts w:hint="eastAsia" w:ascii="Times New Roman" w:hAnsi="Times New Roman"/>
          <w:sz w:val="20"/>
          <w:szCs w:val="20"/>
        </w:rPr>
        <w:t>segments, and e</w:t>
      </w:r>
      <w:r>
        <w:rPr>
          <w:rFonts w:ascii="Times New Roman" w:hAnsi="Times New Roman"/>
          <w:sz w:val="20"/>
          <w:szCs w:val="20"/>
        </w:rPr>
        <w:t xml:space="preserve">ach </w:t>
      </w:r>
      <w:r>
        <w:rPr>
          <w:rFonts w:hint="eastAsia" w:ascii="Times New Roman" w:hAnsi="Times New Roman"/>
          <w:sz w:val="20"/>
          <w:szCs w:val="20"/>
        </w:rPr>
        <w:t xml:space="preserve">segment could </w:t>
      </w:r>
      <w:r>
        <w:rPr>
          <w:rFonts w:ascii="Times New Roman" w:hAnsi="Times New Roman"/>
          <w:sz w:val="20"/>
          <w:szCs w:val="20"/>
        </w:rPr>
        <w:t xml:space="preserve">have its own carrier phase. </w:t>
      </w:r>
      <w:r>
        <w:rPr>
          <w:rFonts w:hint="eastAsia" w:ascii="Times New Roman" w:hAnsi="Times New Roman"/>
          <w:sz w:val="20"/>
          <w:szCs w:val="20"/>
        </w:rPr>
        <w:t>Through the theoretical analysis in [4], it can be observed t</w:t>
      </w:r>
      <w:r>
        <w:rPr>
          <w:rFonts w:hint="eastAsia" w:ascii="Times New Roman" w:hAnsi="Times New Roman" w:eastAsia="宋体"/>
          <w:sz w:val="20"/>
          <w:szCs w:val="20"/>
        </w:rPr>
        <w:t>hat the carrier phas</w:t>
      </w:r>
      <w:r>
        <w:rPr>
          <w:rFonts w:hint="eastAsia" w:ascii="Times New Roman" w:hAnsi="Times New Roman"/>
          <w:sz w:val="20"/>
          <w:szCs w:val="20"/>
        </w:rPr>
        <w:t xml:space="preserve">e error from two frequency segments could be removed. To realize carrier phase positioning with the help of multiple frequency segments, the center frequency and corresponding phase of different carrier segments need to be reported. </w:t>
      </w:r>
      <w:r>
        <w:rPr>
          <w:rFonts w:ascii="Times New Roman" w:hAnsi="Times New Roman"/>
          <w:sz w:val="20"/>
          <w:szCs w:val="20"/>
        </w:rPr>
        <w:t>Hence, we have the following proposal</w:t>
      </w:r>
      <w:r>
        <w:rPr>
          <w:rFonts w:hint="eastAsia" w:ascii="Times New Roman" w:hAnsi="Times New Roman"/>
          <w:sz w:val="20"/>
          <w:szCs w:val="20"/>
        </w:rPr>
        <w:t xml:space="preserve">. </w:t>
      </w:r>
    </w:p>
    <w:p>
      <w:pPr>
        <w:widowControl w:val="0"/>
        <w:snapToGrid w:val="0"/>
        <w:spacing w:after="0" w:line="240" w:lineRule="auto"/>
        <w:jc w:val="both"/>
        <w:rPr>
          <w:rFonts w:ascii="Times New Roman" w:hAnsi="Times New Roman"/>
          <w:b/>
          <w:bCs/>
          <w:i/>
          <w:iCs/>
          <w:sz w:val="20"/>
          <w:szCs w:val="20"/>
        </w:rPr>
      </w:pPr>
      <w:bookmarkStart w:id="20" w:name="_Ref31713"/>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10</w:t>
      </w:r>
      <w:r>
        <w:rPr>
          <w:rFonts w:ascii="Times New Roman" w:hAnsi="Times New Roman"/>
          <w:b/>
          <w:bCs/>
          <w:i/>
          <w:iCs/>
          <w:sz w:val="20"/>
          <w:szCs w:val="20"/>
        </w:rPr>
        <w:fldChar w:fldCharType="end"/>
      </w:r>
      <w:r>
        <w:rPr>
          <w:rFonts w:ascii="Times New Roman" w:hAnsi="Times New Roman"/>
          <w:b/>
          <w:bCs/>
          <w:i/>
          <w:iCs/>
          <w:sz w:val="20"/>
          <w:szCs w:val="20"/>
        </w:rPr>
        <w:t xml:space="preserve">: </w:t>
      </w:r>
      <w:r>
        <w:rPr>
          <w:rFonts w:hint="eastAsia" w:ascii="Times New Roman" w:hAnsi="Times New Roman"/>
          <w:b/>
          <w:bCs/>
          <w:i/>
          <w:iCs/>
          <w:sz w:val="20"/>
          <w:szCs w:val="20"/>
        </w:rPr>
        <w:t>Support measuring and reporting carrier phase of multiple sub-carriers/segments in one carrier/PFL</w:t>
      </w:r>
      <w:bookmarkEnd w:id="20"/>
      <w:r>
        <w:rPr>
          <w:rFonts w:hint="eastAsia" w:ascii="Times New Roman" w:hAnsi="Times New Roman"/>
          <w:b/>
          <w:bCs/>
          <w:i/>
          <w:iCs/>
          <w:sz w:val="20"/>
          <w:szCs w:val="20"/>
          <w:lang w:val="en-US" w:eastAsia="zh-CN"/>
        </w:rPr>
        <w:t>.</w:t>
      </w:r>
      <w:r>
        <w:rPr>
          <w:rFonts w:hint="eastAsia" w:ascii="Times New Roman" w:hAnsi="Times New Roman"/>
          <w:b/>
          <w:bCs/>
          <w:i/>
          <w:iCs/>
          <w:sz w:val="20"/>
          <w:szCs w:val="20"/>
        </w:rPr>
        <w:t xml:space="preserve"> </w:t>
      </w:r>
    </w:p>
    <w:p>
      <w:pPr>
        <w:widowControl w:val="0"/>
        <w:snapToGrid w:val="0"/>
        <w:spacing w:after="0" w:line="240" w:lineRule="auto"/>
        <w:ind w:firstLine="720" w:firstLineChars="0"/>
        <w:jc w:val="both"/>
        <w:rPr>
          <w:rFonts w:hint="eastAsia" w:ascii="Times New Roman" w:hAnsi="Times New Roman" w:eastAsiaTheme="minorEastAsia"/>
          <w:b/>
          <w:bCs/>
          <w:i/>
          <w:iCs/>
          <w:sz w:val="20"/>
          <w:szCs w:val="20"/>
          <w:lang w:val="en-US" w:eastAsia="zh-CN"/>
        </w:rPr>
      </w:pPr>
      <w:r>
        <w:rPr>
          <w:rFonts w:hint="eastAsia" w:ascii="Times New Roman" w:hAnsi="Times New Roman"/>
          <w:b/>
          <w:bCs/>
          <w:i/>
          <w:iCs/>
          <w:sz w:val="20"/>
          <w:szCs w:val="20"/>
        </w:rPr>
        <w:t xml:space="preserve">- </w:t>
      </w:r>
      <w:r>
        <w:rPr>
          <w:rFonts w:ascii="Times New Roman" w:hAnsi="Times New Roman"/>
          <w:b/>
          <w:bCs/>
          <w:i/>
          <w:iCs/>
          <w:sz w:val="20"/>
          <w:szCs w:val="20"/>
        </w:rPr>
        <w:t>center frequency or λ should be informed for each selected sub-carrier/segment</w:t>
      </w:r>
      <w:r>
        <w:rPr>
          <w:rFonts w:hint="eastAsia" w:ascii="Times New Roman" w:hAnsi="Times New Roman"/>
          <w:b/>
          <w:bCs/>
          <w:i/>
          <w:iCs/>
          <w:sz w:val="20"/>
          <w:szCs w:val="20"/>
          <w:lang w:val="en-US" w:eastAsia="zh-CN"/>
        </w:rPr>
        <w:t>.</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Regarding the multiple sub-carriers phase measurement problem</w:t>
      </w:r>
      <w:r>
        <w:rPr>
          <w:rFonts w:ascii="Times New Roman" w:hAnsi="Times New Roman" w:eastAsia="宋体"/>
          <w:sz w:val="20"/>
          <w:szCs w:val="20"/>
        </w:rPr>
        <w:t xml:space="preserve">, the following </w:t>
      </w:r>
      <w:r>
        <w:rPr>
          <w:rFonts w:hint="eastAsia" w:ascii="Times New Roman" w:hAnsi="Times New Roman" w:eastAsia="宋体"/>
          <w:sz w:val="20"/>
          <w:szCs w:val="20"/>
        </w:rPr>
        <w:t>agreement was achieved:</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adjustRightInd w:val="0"/>
              <w:snapToGrid w:val="0"/>
              <w:spacing w:after="0" w:line="240" w:lineRule="auto"/>
              <w:rPr>
                <w:rFonts w:ascii="Times New Roman" w:hAnsi="Times New Roman"/>
                <w:b/>
                <w:sz w:val="20"/>
                <w:szCs w:val="20"/>
                <w:u w:val="single"/>
              </w:rPr>
            </w:pPr>
            <w:r>
              <w:rPr>
                <w:rFonts w:ascii="Times New Roman" w:hAnsi="Times New Roman"/>
                <w:b/>
                <w:sz w:val="20"/>
                <w:szCs w:val="20"/>
                <w:u w:val="single"/>
              </w:rPr>
              <w:t>Agreement</w:t>
            </w:r>
          </w:p>
          <w:p>
            <w:pPr>
              <w:adjustRightInd w:val="0"/>
              <w:snapToGrid w:val="0"/>
              <w:spacing w:after="180" w:afterLines="50" w:line="240" w:lineRule="auto"/>
              <w:rPr>
                <w:rFonts w:ascii="Times New Roman" w:hAnsi="Times New Roman"/>
                <w:bCs/>
                <w:sz w:val="20"/>
                <w:szCs w:val="20"/>
              </w:rPr>
            </w:pPr>
            <w:r>
              <w:rPr>
                <w:rFonts w:ascii="Times New Roman" w:hAnsi="Times New Roman"/>
                <w:bCs/>
                <w:sz w:val="20"/>
                <w:szCs w:val="20"/>
              </w:rPr>
              <w:t>To support NR carrier phase positioning, further consider the following</w:t>
            </w:r>
            <w:r>
              <w:rPr>
                <w:rFonts w:ascii="Times New Roman" w:hAnsi="Times New Roman"/>
                <w:sz w:val="20"/>
                <w:szCs w:val="20"/>
              </w:rPr>
              <w:t xml:space="preserve"> options:</w:t>
            </w:r>
          </w:p>
          <w:p>
            <w:pPr>
              <w:pStyle w:val="84"/>
              <w:numPr>
                <w:ilvl w:val="0"/>
                <w:numId w:val="5"/>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1: Support a UE/TRP to report the carrier phase measurements of more than one frequency within a PFL/carrier to LMF</w:t>
            </w:r>
          </w:p>
          <w:p>
            <w:pPr>
              <w:pStyle w:val="79"/>
              <w:numPr>
                <w:ilvl w:val="1"/>
                <w:numId w:val="5"/>
              </w:numPr>
              <w:adjustRightInd w:val="0"/>
              <w:snapToGrid w:val="0"/>
              <w:spacing w:afterLines="50"/>
            </w:pPr>
            <w:r>
              <w:t>NOTE: the frequency can be the carrier frequency or the frequency of a subcarrier</w:t>
            </w:r>
          </w:p>
          <w:p>
            <w:pPr>
              <w:pStyle w:val="79"/>
              <w:numPr>
                <w:ilvl w:val="1"/>
                <w:numId w:val="5"/>
              </w:numPr>
              <w:adjustRightInd w:val="0"/>
              <w:snapToGrid w:val="0"/>
              <w:spacing w:afterLines="50"/>
            </w:pPr>
            <w:r>
              <w:t>FFS: the details of reporting, e.g., the maximum number of reported frequencies within a PFL/ carrier</w:t>
            </w:r>
          </w:p>
          <w:p>
            <w:pPr>
              <w:pStyle w:val="84"/>
              <w:numPr>
                <w:ilvl w:val="0"/>
                <w:numId w:val="5"/>
              </w:numPr>
              <w:adjustRightInd w:val="0"/>
              <w:snapToGrid w:val="0"/>
              <w:spacing w:after="180" w:afterLines="50" w:line="240" w:lineRule="auto"/>
              <w:rPr>
                <w:rFonts w:ascii="Times New Roman" w:hAnsi="Times New Roman"/>
                <w:sz w:val="20"/>
                <w:szCs w:val="20"/>
              </w:rPr>
            </w:pPr>
            <w:r>
              <w:rPr>
                <w:rFonts w:ascii="Times New Roman" w:hAnsi="Times New Roman"/>
                <w:sz w:val="20"/>
                <w:szCs w:val="20"/>
              </w:rPr>
              <w:t>Option 2: Introduce and report a</w:t>
            </w:r>
            <w:r>
              <w:rPr>
                <w:rFonts w:ascii="Times New Roman" w:hAnsi="Times New Roman" w:eastAsia="Batang"/>
                <w:sz w:val="20"/>
                <w:szCs w:val="20"/>
              </w:rPr>
              <w:t xml:space="preserve"> new type of UE/TRP </w:t>
            </w:r>
            <w:r>
              <w:rPr>
                <w:rFonts w:ascii="Times New Roman" w:hAnsi="Times New Roman"/>
                <w:sz w:val="20"/>
                <w:szCs w:val="20"/>
              </w:rPr>
              <w:t>measurement</w:t>
            </w:r>
            <w:r>
              <w:rPr>
                <w:rFonts w:ascii="Times New Roman" w:hAnsi="Times New Roman" w:eastAsia="Batang"/>
                <w:sz w:val="20"/>
                <w:szCs w:val="20"/>
              </w:rPr>
              <w:t xml:space="preserve"> based on carrier phase differentials across multiple subcarriers within a PFL/carrier</w:t>
            </w:r>
          </w:p>
          <w:p>
            <w:pPr>
              <w:pStyle w:val="79"/>
              <w:numPr>
                <w:ilvl w:val="1"/>
                <w:numId w:val="5"/>
              </w:numPr>
              <w:adjustRightInd w:val="0"/>
              <w:snapToGrid w:val="0"/>
              <w:spacing w:afterLines="50"/>
            </w:pPr>
            <w:r>
              <w:t xml:space="preserve">NOTE: </w:t>
            </w:r>
            <w:r>
              <w:rPr>
                <w:rFonts w:eastAsia="Batang"/>
              </w:rPr>
              <w:t>carrier</w:t>
            </w:r>
            <w:r>
              <w:t xml:space="preserve"> phase differentials across multiple subcarriers within a carrier can be related to time of arrival</w:t>
            </w:r>
          </w:p>
          <w:p>
            <w:pPr>
              <w:pStyle w:val="84"/>
              <w:numPr>
                <w:ilvl w:val="0"/>
                <w:numId w:val="5"/>
              </w:numPr>
              <w:adjustRightInd w:val="0"/>
              <w:snapToGrid w:val="0"/>
              <w:spacing w:after="180" w:afterLines="50" w:line="240" w:lineRule="auto"/>
              <w:rPr>
                <w:rFonts w:ascii="Times New Roman" w:hAnsi="Times New Roman" w:eastAsia="Batang"/>
                <w:bCs/>
                <w:sz w:val="20"/>
                <w:szCs w:val="20"/>
              </w:rPr>
            </w:pPr>
            <w:r>
              <w:rPr>
                <w:rFonts w:ascii="Times New Roman" w:hAnsi="Times New Roman"/>
                <w:sz w:val="20"/>
                <w:szCs w:val="20"/>
              </w:rPr>
              <w:t xml:space="preserve">Option 3: Support a UE/TRP to optionally report an estimated </w:t>
            </w:r>
            <w:r>
              <w:rPr>
                <w:rFonts w:ascii="Times New Roman" w:hAnsi="Times New Roman" w:eastAsia="Batang"/>
                <w:bCs/>
                <w:sz w:val="20"/>
                <w:szCs w:val="20"/>
              </w:rPr>
              <w:t>integer ambiguity and/or search range of the integer ambiguity to LMF</w:t>
            </w:r>
            <w:r>
              <w:rPr>
                <w:rFonts w:hint="eastAsia" w:ascii="Times New Roman" w:hAnsi="Times New Roman" w:eastAsia="宋体"/>
                <w:bCs/>
                <w:sz w:val="20"/>
                <w:szCs w:val="20"/>
              </w:rPr>
              <w:t>.</w:t>
            </w:r>
          </w:p>
          <w:p>
            <w:pPr>
              <w:pStyle w:val="94"/>
              <w:numPr>
                <w:ilvl w:val="0"/>
                <w:numId w:val="5"/>
              </w:numPr>
              <w:snapToGrid w:val="0"/>
              <w:spacing w:afterLines="50" w:line="240" w:lineRule="auto"/>
            </w:pPr>
            <w:r>
              <w:rPr>
                <w:sz w:val="20"/>
              </w:rPr>
              <w:t>Option 4: Support LMF to provide the expected integer ambiguity range at least for UE-based NR CPP in the positioning assistance data.</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lang w:val="en-US" w:eastAsia="zh-CN"/>
        </w:rPr>
        <w:t>For multiple sub-carriers phase measurement, i</w:t>
      </w:r>
      <w:r>
        <w:rPr>
          <w:rFonts w:hint="eastAsia" w:ascii="Times New Roman" w:hAnsi="Times New Roman" w:eastAsia="宋体"/>
          <w:sz w:val="20"/>
          <w:szCs w:val="20"/>
        </w:rPr>
        <w:t xml:space="preserve">n option 1, there is an FFS concerning the details of reporting for multiple sub-carrier phase measurement. As shown in </w:t>
      </w:r>
      <w:r>
        <w:rPr>
          <w:rFonts w:hint="eastAsia" w:ascii="Times New Roman" w:hAnsi="Times New Roman" w:eastAsia="宋体"/>
          <w:sz w:val="20"/>
          <w:szCs w:val="20"/>
        </w:rPr>
        <w:fldChar w:fldCharType="begin"/>
      </w:r>
      <w:r>
        <w:rPr>
          <w:rFonts w:hint="eastAsia" w:ascii="Times New Roman" w:hAnsi="Times New Roman" w:eastAsia="宋体"/>
          <w:sz w:val="20"/>
          <w:szCs w:val="20"/>
        </w:rPr>
        <w:instrText xml:space="preserve"> REF _Ref16015 \h </w:instrText>
      </w:r>
      <w:r>
        <w:rPr>
          <w:rFonts w:hint="eastAsia" w:ascii="Times New Roman" w:hAnsi="Times New Roman" w:eastAsia="宋体"/>
          <w:sz w:val="20"/>
          <w:szCs w:val="20"/>
        </w:rPr>
        <w:fldChar w:fldCharType="separate"/>
      </w:r>
      <w:r>
        <w:rPr>
          <w:rFonts w:ascii="Times New Roman" w:hAnsi="Times New Roman"/>
          <w:sz w:val="20"/>
          <w:szCs w:val="20"/>
        </w:rPr>
        <w:t>Figure 4</w:t>
      </w:r>
      <w:r>
        <w:rPr>
          <w:rFonts w:hint="eastAsia" w:ascii="Times New Roman" w:hAnsi="Times New Roman" w:eastAsia="宋体"/>
          <w:sz w:val="20"/>
          <w:szCs w:val="20"/>
        </w:rPr>
        <w:fldChar w:fldCharType="end"/>
      </w:r>
      <w:r>
        <w:rPr>
          <w:rFonts w:hint="eastAsia" w:ascii="Times New Roman" w:hAnsi="Times New Roman" w:eastAsia="宋体"/>
          <w:sz w:val="20"/>
          <w:szCs w:val="20"/>
        </w:rPr>
        <w:t xml:space="preserve">, a PFL/carrier contains multiple sub-carriers, and UE may report the carrier phase of several sub-carriers in one measurement report. </w:t>
      </w:r>
    </w:p>
    <w:p>
      <w:pPr>
        <w:adjustRightInd w:val="0"/>
        <w:snapToGrid w:val="0"/>
        <w:spacing w:before="180" w:beforeLines="50" w:after="180" w:afterLines="50" w:line="240" w:lineRule="auto"/>
        <w:jc w:val="center"/>
      </w:pPr>
      <w:r>
        <w:drawing>
          <wp:inline distT="0" distB="0" distL="114300" distR="114300">
            <wp:extent cx="2201545" cy="1774190"/>
            <wp:effectExtent l="0" t="0" r="8255" b="16510"/>
            <wp:docPr id="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9"/>
                    <pic:cNvPicPr>
                      <a:picLocks noChangeAspect="1"/>
                    </pic:cNvPicPr>
                  </pic:nvPicPr>
                  <pic:blipFill>
                    <a:blip r:embed="rId10"/>
                    <a:stretch>
                      <a:fillRect/>
                    </a:stretch>
                  </pic:blipFill>
                  <pic:spPr>
                    <a:xfrm>
                      <a:off x="0" y="0"/>
                      <a:ext cx="2201545" cy="1774190"/>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rPr>
      </w:pPr>
      <w:bookmarkStart w:id="21" w:name="_Ref16015"/>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bookmarkEnd w:id="21"/>
      <w:r>
        <w:rPr>
          <w:rFonts w:ascii="Times New Roman" w:hAnsi="Times New Roman"/>
          <w:sz w:val="20"/>
          <w:szCs w:val="20"/>
        </w:rPr>
        <w:t xml:space="preserve">. </w:t>
      </w:r>
      <w:r>
        <w:rPr>
          <w:rFonts w:hint="eastAsia" w:ascii="Times New Roman" w:hAnsi="Times New Roman"/>
          <w:sz w:val="20"/>
          <w:szCs w:val="20"/>
        </w:rPr>
        <w:t xml:space="preserve">UE reports the carrier phase of multiple sub-carriers </w:t>
      </w:r>
    </w:p>
    <w:p>
      <w:pPr>
        <w:adjustRightInd w:val="0"/>
        <w:snapToGrid w:val="0"/>
        <w:spacing w:before="180" w:beforeLines="50" w:after="180" w:afterLines="50" w:line="240" w:lineRule="auto"/>
        <w:jc w:val="both"/>
      </w:pPr>
      <w:r>
        <w:rPr>
          <w:rFonts w:hint="eastAsia" w:ascii="Times New Roman" w:hAnsi="Times New Roman" w:eastAsia="宋体"/>
          <w:sz w:val="20"/>
          <w:szCs w:val="20"/>
        </w:rPr>
        <w:t xml:space="preserve">In </w:t>
      </w:r>
      <w:r>
        <w:rPr>
          <w:rFonts w:hint="eastAsia" w:ascii="Times New Roman" w:hAnsi="Times New Roman" w:eastAsia="宋体"/>
          <w:sz w:val="20"/>
          <w:szCs w:val="20"/>
        </w:rPr>
        <w:fldChar w:fldCharType="begin"/>
      </w:r>
      <w:r>
        <w:rPr>
          <w:rFonts w:hint="eastAsia" w:ascii="Times New Roman" w:hAnsi="Times New Roman" w:eastAsia="宋体"/>
          <w:sz w:val="20"/>
          <w:szCs w:val="20"/>
        </w:rPr>
        <w:instrText xml:space="preserve"> REF _Ref16015 \h </w:instrText>
      </w:r>
      <w:r>
        <w:rPr>
          <w:rFonts w:hint="eastAsia" w:ascii="Times New Roman" w:hAnsi="Times New Roman" w:eastAsia="宋体"/>
          <w:sz w:val="20"/>
          <w:szCs w:val="20"/>
        </w:rPr>
        <w:fldChar w:fldCharType="separate"/>
      </w:r>
      <w:r>
        <w:rPr>
          <w:rFonts w:ascii="Times New Roman" w:hAnsi="Times New Roman"/>
          <w:sz w:val="20"/>
          <w:szCs w:val="20"/>
        </w:rPr>
        <w:t>Figure 4</w:t>
      </w:r>
      <w:r>
        <w:rPr>
          <w:rFonts w:hint="eastAsia" w:ascii="Times New Roman" w:hAnsi="Times New Roman" w:eastAsia="宋体"/>
          <w:sz w:val="20"/>
          <w:szCs w:val="20"/>
        </w:rPr>
        <w:fldChar w:fldCharType="end"/>
      </w:r>
      <w:r>
        <w:rPr>
          <w:rFonts w:hint="eastAsia" w:ascii="Times New Roman" w:hAnsi="Times New Roman" w:eastAsia="宋体"/>
          <w:sz w:val="20"/>
          <w:szCs w:val="20"/>
        </w:rPr>
        <w:t xml:space="preserve">, </w:t>
      </w:r>
      <w:r>
        <w:rPr>
          <w:rFonts w:hint="eastAsia" w:ascii="Times New Roman" w:hAnsi="Times New Roman" w:eastAsia="宋体"/>
          <w:i/>
          <w:iCs/>
          <w:sz w:val="20"/>
          <w:szCs w:val="20"/>
        </w:rPr>
        <w:t>N</w:t>
      </w:r>
      <w:r>
        <w:rPr>
          <w:rFonts w:hint="eastAsia" w:ascii="Times New Roman" w:hAnsi="Times New Roman" w:eastAsia="宋体"/>
          <w:sz w:val="20"/>
          <w:szCs w:val="20"/>
        </w:rPr>
        <w:t xml:space="preserve"> indicates the number of sub-carriers to be reported in each carrier phase measurement result, and </w:t>
      </w:r>
      <w:r>
        <w:rPr>
          <w:rFonts w:hint="eastAsia" w:ascii="Times New Roman" w:hAnsi="Times New Roman" w:eastAsia="宋体"/>
          <w:i/>
          <w:iCs/>
          <w:sz w:val="20"/>
          <w:szCs w:val="20"/>
        </w:rPr>
        <w:t xml:space="preserve">M </w:t>
      </w:r>
      <w:r>
        <w:rPr>
          <w:rFonts w:hint="eastAsia" w:ascii="Times New Roman" w:hAnsi="Times New Roman" w:eastAsia="宋体"/>
          <w:sz w:val="20"/>
          <w:szCs w:val="20"/>
        </w:rPr>
        <w:t xml:space="preserve">represents the number of carrier phase reports in each PFL. LMF can configure the requirement </w:t>
      </w:r>
      <w:r>
        <w:rPr>
          <w:rFonts w:hint="eastAsia" w:ascii="Times New Roman" w:hAnsi="Times New Roman" w:eastAsia="宋体"/>
          <w:i/>
          <w:iCs/>
          <w:sz w:val="20"/>
          <w:szCs w:val="20"/>
        </w:rPr>
        <w:t xml:space="preserve">M </w:t>
      </w:r>
      <w:r>
        <w:rPr>
          <w:rFonts w:hint="eastAsia" w:ascii="Times New Roman" w:hAnsi="Times New Roman" w:eastAsia="宋体"/>
          <w:sz w:val="20"/>
          <w:szCs w:val="20"/>
        </w:rPr>
        <w:t xml:space="preserve">or </w:t>
      </w:r>
      <w:r>
        <w:rPr>
          <w:rFonts w:hint="eastAsia" w:ascii="Times New Roman" w:hAnsi="Times New Roman" w:eastAsia="宋体"/>
          <w:i/>
          <w:iCs/>
          <w:sz w:val="20"/>
          <w:szCs w:val="20"/>
        </w:rPr>
        <w:t xml:space="preserve">N </w:t>
      </w:r>
      <w:r>
        <w:rPr>
          <w:rFonts w:hint="eastAsia" w:ascii="Times New Roman" w:hAnsi="Times New Roman" w:eastAsia="宋体"/>
          <w:sz w:val="20"/>
          <w:szCs w:val="20"/>
        </w:rPr>
        <w:t>for multiple sub-carriers phase measurement. In this way, UE can execute carrier phase measurement and report procedure as configured by LMF.</w:t>
      </w:r>
    </w:p>
    <w:p>
      <w:pPr>
        <w:pStyle w:val="79"/>
        <w:adjustRightInd w:val="0"/>
        <w:snapToGrid w:val="0"/>
        <w:spacing w:afterLines="50"/>
        <w:ind w:left="0" w:firstLine="0"/>
        <w:rPr>
          <w:rFonts w:eastAsia="宋体"/>
          <w:lang w:val="en-US" w:eastAsia="zh-CN"/>
        </w:rPr>
      </w:pPr>
      <w:r>
        <w:rPr>
          <w:rFonts w:hint="eastAsia" w:eastAsia="宋体"/>
          <w:lang w:val="en-US" w:eastAsia="zh-CN"/>
        </w:rPr>
        <w:t>Hence, we have the following proposal:</w:t>
      </w:r>
    </w:p>
    <w:p>
      <w:pPr>
        <w:widowControl w:val="0"/>
        <w:snapToGrid w:val="0"/>
        <w:spacing w:after="0" w:line="240" w:lineRule="auto"/>
        <w:jc w:val="both"/>
        <w:rPr>
          <w:rFonts w:ascii="Times New Roman" w:hAnsi="Times New Roman"/>
          <w:b/>
          <w:bCs/>
          <w:i/>
          <w:iCs/>
          <w:sz w:val="20"/>
          <w:szCs w:val="20"/>
        </w:rPr>
      </w:pPr>
      <w:bookmarkStart w:id="22" w:name="_Ref18376"/>
      <w:r>
        <w:rPr>
          <w:rFonts w:ascii="Times New Roman" w:hAnsi="Times New Roman"/>
          <w:b/>
          <w:bCs/>
          <w:i/>
          <w:iCs/>
          <w:sz w:val="20"/>
          <w:szCs w:val="20"/>
        </w:rPr>
        <w:t xml:space="preserve">Proposal </w:t>
      </w:r>
      <w:r>
        <w:rPr>
          <w:rFonts w:ascii="Times New Roman" w:hAnsi="Times New Roman"/>
          <w:b/>
          <w:bCs/>
          <w:i/>
          <w:iCs/>
          <w:sz w:val="20"/>
          <w:szCs w:val="20"/>
        </w:rPr>
        <w:fldChar w:fldCharType="begin"/>
      </w:r>
      <w:r>
        <w:rPr>
          <w:rFonts w:ascii="Times New Roman" w:hAnsi="Times New Roman"/>
          <w:b/>
          <w:bCs/>
          <w:i/>
          <w:iCs/>
          <w:sz w:val="20"/>
          <w:szCs w:val="20"/>
        </w:rPr>
        <w:instrText xml:space="preserve"> SEQ Proposal \* ARABIC </w:instrText>
      </w:r>
      <w:r>
        <w:rPr>
          <w:rFonts w:ascii="Times New Roman" w:hAnsi="Times New Roman"/>
          <w:b/>
          <w:bCs/>
          <w:i/>
          <w:iCs/>
          <w:sz w:val="20"/>
          <w:szCs w:val="20"/>
        </w:rPr>
        <w:fldChar w:fldCharType="separate"/>
      </w:r>
      <w:r>
        <w:rPr>
          <w:rFonts w:ascii="Times New Roman" w:hAnsi="Times New Roman"/>
          <w:b/>
          <w:bCs/>
          <w:i/>
          <w:iCs/>
          <w:sz w:val="20"/>
          <w:szCs w:val="20"/>
        </w:rPr>
        <w:t>11</w:t>
      </w:r>
      <w:r>
        <w:rPr>
          <w:rFonts w:ascii="Times New Roman" w:hAnsi="Times New Roman"/>
          <w:b/>
          <w:bCs/>
          <w:i/>
          <w:iCs/>
          <w:sz w:val="20"/>
          <w:szCs w:val="20"/>
        </w:rPr>
        <w:fldChar w:fldCharType="end"/>
      </w:r>
      <w:r>
        <w:rPr>
          <w:rFonts w:ascii="Times New Roman" w:hAnsi="Times New Roman"/>
          <w:b/>
          <w:bCs/>
          <w:i/>
          <w:iCs/>
          <w:sz w:val="20"/>
          <w:szCs w:val="20"/>
        </w:rPr>
        <w:t>:</w:t>
      </w:r>
      <w:r>
        <w:rPr>
          <w:rFonts w:hint="eastAsia" w:ascii="Times New Roman" w:hAnsi="Times New Roman"/>
          <w:b/>
          <w:bCs/>
          <w:i/>
          <w:iCs/>
          <w:sz w:val="20"/>
          <w:szCs w:val="20"/>
        </w:rPr>
        <w:t xml:space="preserve"> If a UE/TRP is supported to report the carrier phase measurements of more than one frequencies within a PFL/carrier, the following enhancement can be supported:</w:t>
      </w:r>
      <w:bookmarkEnd w:id="22"/>
    </w:p>
    <w:p>
      <w:pPr>
        <w:widowControl w:val="0"/>
        <w:snapToGrid w:val="0"/>
        <w:spacing w:after="0" w:line="240" w:lineRule="auto"/>
        <w:ind w:firstLine="720" w:firstLineChars="0"/>
        <w:jc w:val="both"/>
        <w:rPr>
          <w:rFonts w:hint="eastAsia" w:ascii="Times New Roman" w:hAnsi="Times New Roman" w:eastAsiaTheme="minorEastAsia"/>
          <w:b/>
          <w:bCs/>
          <w:i/>
          <w:iCs/>
          <w:sz w:val="20"/>
          <w:szCs w:val="20"/>
          <w:lang w:val="en-US" w:eastAsia="zh-CN"/>
        </w:rPr>
      </w:pPr>
      <w:r>
        <w:rPr>
          <w:rFonts w:hint="eastAsia" w:ascii="Times New Roman" w:hAnsi="Times New Roman"/>
          <w:b/>
          <w:bCs/>
          <w:i/>
          <w:iCs/>
          <w:sz w:val="20"/>
          <w:szCs w:val="20"/>
        </w:rPr>
        <w:t>-LMF configures the number of PRBs/sub-carriers for each carrier phase measurement report</w:t>
      </w:r>
      <w:r>
        <w:rPr>
          <w:rFonts w:hint="eastAsia" w:ascii="Times New Roman" w:hAnsi="Times New Roman"/>
          <w:b/>
          <w:bCs/>
          <w:i/>
          <w:iCs/>
          <w:sz w:val="20"/>
          <w:szCs w:val="20"/>
          <w:lang w:val="en-US" w:eastAsia="zh-CN"/>
        </w:rPr>
        <w:t>.</w:t>
      </w:r>
    </w:p>
    <w:p>
      <w:pPr>
        <w:widowControl w:val="0"/>
        <w:snapToGrid w:val="0"/>
        <w:spacing w:after="0" w:line="240" w:lineRule="auto"/>
        <w:ind w:firstLine="720" w:firstLineChars="0"/>
        <w:jc w:val="both"/>
        <w:rPr>
          <w:rFonts w:hint="eastAsia" w:ascii="Times New Roman" w:hAnsi="Times New Roman" w:eastAsiaTheme="minorEastAsia"/>
          <w:b/>
          <w:bCs/>
          <w:i/>
          <w:iCs/>
          <w:sz w:val="20"/>
          <w:szCs w:val="20"/>
          <w:lang w:val="en-US" w:eastAsia="zh-CN"/>
        </w:rPr>
      </w:pPr>
      <w:r>
        <w:rPr>
          <w:rFonts w:hint="eastAsia" w:ascii="Times New Roman" w:hAnsi="Times New Roman"/>
          <w:b/>
          <w:bCs/>
          <w:i/>
          <w:iCs/>
          <w:sz w:val="20"/>
          <w:szCs w:val="20"/>
        </w:rPr>
        <w:t>-LMF configures the number of carrier phase measurement reports for each PFL/carrier</w:t>
      </w:r>
      <w:r>
        <w:rPr>
          <w:rFonts w:hint="eastAsia" w:ascii="Times New Roman" w:hAnsi="Times New Roman"/>
          <w:b/>
          <w:bCs/>
          <w:i/>
          <w:iCs/>
          <w:sz w:val="20"/>
          <w:szCs w:val="20"/>
          <w:lang w:val="en-US" w:eastAsia="zh-CN"/>
        </w:rPr>
        <w:t>.</w:t>
      </w:r>
    </w:p>
    <w:p>
      <w:pPr>
        <w:pStyle w:val="3"/>
        <w:snapToGrid w:val="0"/>
        <w:spacing w:line="240" w:lineRule="auto"/>
        <w:rPr>
          <w:sz w:val="24"/>
          <w:szCs w:val="24"/>
        </w:rPr>
      </w:pPr>
      <w:r>
        <w:rPr>
          <w:rFonts w:hint="eastAsia"/>
          <w:sz w:val="24"/>
          <w:szCs w:val="24"/>
          <w:lang w:val="en-US"/>
        </w:rPr>
        <w:t>Phase Error Group</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 gNB (or TRP) or UE may be equipped with multiple antennas (including transmission antenna, reception antenna). Different antenna</w:t>
      </w:r>
      <w:r>
        <w:rPr>
          <w:rFonts w:hint="eastAsia" w:ascii="Times New Roman" w:hAnsi="Times New Roman"/>
          <w:sz w:val="20"/>
          <w:szCs w:val="20"/>
          <w:lang w:val="en-US" w:eastAsia="zh-CN"/>
        </w:rPr>
        <w:t>s</w:t>
      </w:r>
      <w:r>
        <w:rPr>
          <w:rFonts w:ascii="Times New Roman" w:hAnsi="Times New Roman"/>
          <w:sz w:val="20"/>
          <w:szCs w:val="20"/>
        </w:rPr>
        <w:t xml:space="preserve"> may have different phase error when performing carrier phase measurement. As the following figure, it is appropriate to measure carrier phase with the antenna(s) within a phase error group (PEG)</w:t>
      </w:r>
      <w:r>
        <w:rPr>
          <w:rFonts w:hint="eastAsia" w:ascii="Times New Roman" w:hAnsi="Times New Roman"/>
          <w:sz w:val="20"/>
          <w:szCs w:val="20"/>
        </w:rPr>
        <w:t xml:space="preserve"> which is similar as TEG defined in Rel-17</w:t>
      </w:r>
      <w:r>
        <w:rPr>
          <w:rFonts w:ascii="Times New Roman" w:hAnsi="Times New Roman"/>
          <w:sz w:val="20"/>
          <w:szCs w:val="20"/>
        </w:rPr>
        <w:t>.</w:t>
      </w:r>
      <w:r>
        <w:rPr>
          <w:rFonts w:hint="eastAsia" w:ascii="Times New Roman" w:hAnsi="Times New Roman"/>
          <w:sz w:val="20"/>
          <w:szCs w:val="20"/>
        </w:rPr>
        <w:t xml:space="preserve"> More specifically, one or more antennas within a phase error margin can be grouped into a PEG.</w:t>
      </w:r>
      <w:r>
        <w:rPr>
          <w:rFonts w:ascii="Times New Roman" w:hAnsi="Times New Roman"/>
          <w:sz w:val="20"/>
          <w:szCs w:val="20"/>
        </w:rPr>
        <w:t xml:space="preserve"> </w:t>
      </w:r>
    </w:p>
    <w:p>
      <w:pPr>
        <w:pStyle w:val="54"/>
        <w:adjustRightInd w:val="0"/>
        <w:snapToGrid w:val="0"/>
        <w:ind w:firstLine="0" w:firstLineChars="0"/>
        <w:rPr>
          <w:kern w:val="0"/>
          <w:sz w:val="20"/>
          <w:szCs w:val="20"/>
        </w:rPr>
      </w:pPr>
      <w:r>
        <w:rPr>
          <w:kern w:val="0"/>
          <w:sz w:val="20"/>
          <w:szCs w:val="20"/>
        </w:rPr>
        <w:t xml:space="preserve">With </w:t>
      </w:r>
      <w:r>
        <w:rPr>
          <w:rFonts w:hint="eastAsia"/>
          <w:kern w:val="0"/>
          <w:sz w:val="20"/>
          <w:szCs w:val="20"/>
        </w:rPr>
        <w:t>the help of PEG</w:t>
      </w:r>
      <w:r>
        <w:rPr>
          <w:kern w:val="0"/>
          <w:sz w:val="20"/>
          <w:szCs w:val="20"/>
        </w:rPr>
        <w:t xml:space="preserve">, </w:t>
      </w:r>
      <w:r>
        <w:rPr>
          <w:rFonts w:hint="eastAsia"/>
          <w:kern w:val="0"/>
          <w:sz w:val="20"/>
          <w:szCs w:val="20"/>
        </w:rPr>
        <w:t>UE(for UE-based positioning method) or LMF(for UE-assisted/NG-RAN node-assisted positioning method)</w:t>
      </w:r>
      <w:r>
        <w:rPr>
          <w:kern w:val="0"/>
          <w:sz w:val="20"/>
          <w:szCs w:val="20"/>
        </w:rPr>
        <w:t xml:space="preserve"> can choose appropriate antenna/PEG for </w:t>
      </w:r>
      <w:r>
        <w:rPr>
          <w:rFonts w:hint="eastAsia"/>
          <w:kern w:val="0"/>
          <w:sz w:val="20"/>
          <w:szCs w:val="20"/>
        </w:rPr>
        <w:t>location estimation with the measured and/or reported carrier phase</w:t>
      </w:r>
      <w:r>
        <w:rPr>
          <w:kern w:val="0"/>
          <w:sz w:val="20"/>
          <w:szCs w:val="20"/>
        </w:rPr>
        <w:t xml:space="preserve">. </w:t>
      </w:r>
      <w:r>
        <w:rPr>
          <w:rFonts w:hint="eastAsia"/>
          <w:kern w:val="0"/>
          <w:sz w:val="20"/>
          <w:szCs w:val="20"/>
        </w:rPr>
        <w:t>T</w:t>
      </w:r>
      <w:r>
        <w:rPr>
          <w:kern w:val="0"/>
          <w:sz w:val="20"/>
          <w:szCs w:val="20"/>
        </w:rPr>
        <w:t xml:space="preserve">he phase error can be </w:t>
      </w:r>
      <w:r>
        <w:rPr>
          <w:rFonts w:hint="eastAsia"/>
          <w:kern w:val="0"/>
          <w:sz w:val="20"/>
          <w:szCs w:val="20"/>
        </w:rPr>
        <w:t>minimized, and the positioning accuracy can be definitely improved.</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Hence, we have the following proposal</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b/>
          <w:i/>
          <w:sz w:val="20"/>
          <w:szCs w:val="20"/>
        </w:rPr>
      </w:pPr>
      <w:bookmarkStart w:id="23" w:name="_Ref18405"/>
      <w:bookmarkStart w:id="24" w:name="_Ref12141"/>
      <w:r>
        <w:rPr>
          <w:rFonts w:ascii="Times New Roman" w:hAnsi="Times New Roman"/>
          <w:b/>
          <w:i/>
          <w:sz w:val="20"/>
          <w:szCs w:val="20"/>
        </w:rPr>
        <w:t xml:space="preserve">Proposal </w:t>
      </w:r>
      <w:r>
        <w:rPr>
          <w:rFonts w:ascii="Times New Roman" w:hAnsi="Times New Roman"/>
          <w:b/>
          <w:i/>
          <w:sz w:val="20"/>
          <w:szCs w:val="20"/>
        </w:rPr>
        <w:fldChar w:fldCharType="begin"/>
      </w:r>
      <w:r>
        <w:rPr>
          <w:rFonts w:ascii="Times New Roman" w:hAnsi="Times New Roman"/>
          <w:b/>
          <w:i/>
          <w:sz w:val="20"/>
          <w:szCs w:val="20"/>
        </w:rPr>
        <w:instrText xml:space="preserve"> SEQ Proposal \* ARABIC </w:instrText>
      </w:r>
      <w:r>
        <w:rPr>
          <w:rFonts w:ascii="Times New Roman" w:hAnsi="Times New Roman"/>
          <w:b/>
          <w:i/>
          <w:sz w:val="20"/>
          <w:szCs w:val="20"/>
        </w:rPr>
        <w:fldChar w:fldCharType="separate"/>
      </w:r>
      <w:r>
        <w:rPr>
          <w:rFonts w:ascii="Times New Roman" w:hAnsi="Times New Roman"/>
          <w:b/>
          <w:i/>
          <w:sz w:val="20"/>
          <w:szCs w:val="20"/>
        </w:rPr>
        <w:t>12</w:t>
      </w:r>
      <w:r>
        <w:rPr>
          <w:rFonts w:ascii="Times New Roman" w:hAnsi="Times New Roman"/>
          <w:b/>
          <w:i/>
          <w:sz w:val="20"/>
          <w:szCs w:val="20"/>
        </w:rPr>
        <w:fldChar w:fldCharType="end"/>
      </w:r>
      <w:r>
        <w:rPr>
          <w:rFonts w:hint="eastAsia" w:ascii="Times New Roman" w:hAnsi="Times New Roman"/>
          <w:b/>
          <w:i/>
          <w:sz w:val="20"/>
          <w:szCs w:val="20"/>
        </w:rPr>
        <w:t>:</w:t>
      </w:r>
      <w:r>
        <w:rPr>
          <w:rFonts w:ascii="Times New Roman" w:hAnsi="Times New Roman"/>
          <w:b/>
          <w:i/>
          <w:sz w:val="20"/>
          <w:szCs w:val="20"/>
        </w:rPr>
        <w:t xml:space="preserve"> Phase Error Group(PEG) should be </w:t>
      </w:r>
      <w:r>
        <w:rPr>
          <w:rFonts w:hint="eastAsia" w:ascii="Times New Roman" w:hAnsi="Times New Roman"/>
          <w:b/>
          <w:i/>
          <w:sz w:val="20"/>
          <w:szCs w:val="20"/>
        </w:rPr>
        <w:t xml:space="preserve">defined </w:t>
      </w:r>
      <w:r>
        <w:rPr>
          <w:rFonts w:ascii="Times New Roman" w:hAnsi="Times New Roman"/>
          <w:b/>
          <w:i/>
          <w:sz w:val="20"/>
          <w:szCs w:val="20"/>
        </w:rPr>
        <w:t xml:space="preserve">for </w:t>
      </w:r>
      <w:r>
        <w:rPr>
          <w:rFonts w:hint="eastAsia" w:ascii="Times New Roman" w:hAnsi="Times New Roman"/>
          <w:b/>
          <w:i/>
          <w:sz w:val="20"/>
          <w:szCs w:val="20"/>
        </w:rPr>
        <w:t xml:space="preserve">carrier phase </w:t>
      </w:r>
      <w:r>
        <w:rPr>
          <w:rFonts w:ascii="Times New Roman" w:hAnsi="Times New Roman"/>
          <w:b/>
          <w:i/>
          <w:sz w:val="20"/>
          <w:szCs w:val="20"/>
        </w:rPr>
        <w:t>measurement</w:t>
      </w:r>
      <w:r>
        <w:rPr>
          <w:rFonts w:hint="eastAsia" w:ascii="Times New Roman" w:hAnsi="Times New Roman"/>
          <w:b/>
          <w:i/>
          <w:sz w:val="20"/>
          <w:szCs w:val="20"/>
        </w:rPr>
        <w:t>, where phase measurement errors in a PEG is within a margin value</w:t>
      </w:r>
      <w:r>
        <w:rPr>
          <w:rFonts w:ascii="Times New Roman" w:hAnsi="Times New Roman"/>
          <w:b/>
          <w:i/>
          <w:sz w:val="20"/>
          <w:szCs w:val="20"/>
        </w:rPr>
        <w:t>.</w:t>
      </w:r>
      <w:bookmarkEnd w:id="23"/>
      <w:bookmarkEnd w:id="24"/>
    </w:p>
    <w:p>
      <w:pPr>
        <w:widowControl w:val="0"/>
        <w:snapToGrid w:val="0"/>
        <w:spacing w:before="180" w:beforeLines="50" w:after="180" w:afterLines="50" w:line="240" w:lineRule="auto"/>
        <w:jc w:val="center"/>
      </w:pPr>
      <w:r>
        <w:object>
          <v:shape id="_x0000_i1025" o:spt="75" type="#_x0000_t75" style="height:121.2pt;width:120.85pt;" o:ole="t" filled="f" o:preferrelative="t" stroked="f" coordsize="21600,21600">
            <v:path/>
            <v:fill on="f" focussize="0,0"/>
            <v:stroke on="f" joinstyle="miter"/>
            <v:imagedata r:id="rId12" o:title=""/>
            <o:lock v:ext="edit" aspectratio="t"/>
            <w10:wrap type="none"/>
            <w10:anchorlock/>
          </v:shape>
          <o:OLEObject Type="Embed" ProgID="Visio.Drawing.11" ShapeID="_x0000_i1025" DrawAspect="Content" ObjectID="_1468075725" r:id="rId11">
            <o:LockedField>false</o:LockedField>
          </o:OLEObject>
        </w:object>
      </w:r>
    </w:p>
    <w:p>
      <w:pPr>
        <w:pStyle w:val="13"/>
        <w:widowControl w:val="0"/>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5</w:t>
      </w:r>
      <w:r>
        <w:rPr>
          <w:b w:val="0"/>
          <w:bCs w:val="0"/>
        </w:rPr>
        <w:fldChar w:fldCharType="end"/>
      </w:r>
      <w:r>
        <w:rPr>
          <w:rFonts w:hint="eastAsia"/>
          <w:b w:val="0"/>
          <w:bCs w:val="0"/>
          <w:lang w:val="en-US" w:eastAsia="zh-CN"/>
        </w:rPr>
        <w:t xml:space="preserve">. </w:t>
      </w:r>
      <w:r>
        <w:rPr>
          <w:b w:val="0"/>
          <w:bCs w:val="0"/>
        </w:rPr>
        <w:t>Conception for PEG</w:t>
      </w:r>
    </w:p>
    <w:bookmarkEnd w:id="5"/>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Conclusion</w:t>
      </w:r>
    </w:p>
    <w:p>
      <w:pPr>
        <w:autoSpaceDE w:val="0"/>
        <w:autoSpaceDN w:val="0"/>
        <w:adjustRightInd w:val="0"/>
        <w:snapToGrid w:val="0"/>
        <w:spacing w:before="180" w:beforeLines="50" w:after="180" w:afterLines="50"/>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 our views on carrier phase measurement based positioning techniques</w:t>
      </w:r>
      <w:r>
        <w:rPr>
          <w:rFonts w:hint="eastAsia" w:ascii="Times New Roman" w:hAnsi="Times New Roman"/>
          <w:iCs/>
          <w:sz w:val="20"/>
          <w:szCs w:val="20"/>
        </w:rPr>
        <w:t>, observation and proposals are listed as follows:</w:t>
      </w:r>
    </w:p>
    <w:p>
      <w:pPr>
        <w:autoSpaceDE w:val="0"/>
        <w:autoSpaceDN w:val="0"/>
        <w:adjustRightInd w:val="0"/>
        <w:snapToGrid w:val="0"/>
        <w:spacing w:before="180" w:beforeLines="50" w:after="180" w:afterLines="50"/>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_Ref20139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iCs/>
          <w:sz w:val="20"/>
          <w:szCs w:val="20"/>
        </w:rPr>
        <w:t>Observation 1: Supporting a mechanism to ensure simultaneous measurements/transmissions for a target UE and a PRU is beneficial for improving the performance of carrier phase positioning.</w:t>
      </w:r>
      <w:r>
        <w:rPr>
          <w:rFonts w:hint="default" w:ascii="Times New Roman" w:hAnsi="Times New Roman" w:cs="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_Ref12793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iCs/>
          <w:sz w:val="20"/>
          <w:szCs w:val="20"/>
        </w:rPr>
        <w:t xml:space="preserve">Proposal 1: </w:t>
      </w:r>
      <w:r>
        <w:rPr>
          <w:rFonts w:hint="default" w:ascii="Times New Roman" w:hAnsi="Times New Roman" w:cs="Times New Roman"/>
          <w:b/>
          <w:bCs/>
          <w:i/>
          <w:iCs/>
          <w:sz w:val="20"/>
          <w:szCs w:val="20"/>
          <w:lang w:val="en-US" w:eastAsia="zh-CN"/>
        </w:rPr>
        <w:t xml:space="preserve">For signalling concerning the integer ambiguity, at least support LMF providing the range </w:t>
      </w:r>
      <w:r>
        <w:rPr>
          <w:rFonts w:hint="default" w:ascii="Times New Roman" w:hAnsi="Times New Roman" w:cs="Times New Roman"/>
          <w:b/>
          <w:bCs/>
          <w:i/>
          <w:iCs/>
          <w:sz w:val="20"/>
          <w:szCs w:val="20"/>
        </w:rPr>
        <w:t xml:space="preserve">of integer </w:t>
      </w:r>
      <w:r>
        <w:rPr>
          <w:rFonts w:hint="default" w:ascii="Times New Roman" w:hAnsi="Times New Roman" w:cs="Times New Roman"/>
          <w:b/>
          <w:bCs/>
          <w:i/>
          <w:iCs/>
          <w:sz w:val="20"/>
          <w:szCs w:val="20"/>
          <w:lang w:val="en-US" w:eastAsia="zh-CN"/>
        </w:rPr>
        <w:t xml:space="preserve">to UE </w:t>
      </w:r>
      <w:r>
        <w:rPr>
          <w:rFonts w:hint="default" w:ascii="Times New Roman" w:hAnsi="Times New Roman" w:cs="Times New Roman"/>
          <w:b/>
          <w:bCs/>
          <w:i/>
          <w:iCs/>
          <w:sz w:val="20"/>
          <w:szCs w:val="20"/>
        </w:rPr>
        <w:t>for UE</w:t>
      </w:r>
      <w:r>
        <w:rPr>
          <w:rFonts w:hint="default" w:ascii="Times New Roman" w:hAnsi="Times New Roman" w:cs="Times New Roman"/>
          <w:b/>
          <w:bCs/>
          <w:i/>
          <w:iCs/>
          <w:sz w:val="20"/>
          <w:szCs w:val="20"/>
          <w:lang w:val="en-US" w:eastAsia="zh-CN"/>
        </w:rPr>
        <w:t>-</w:t>
      </w:r>
      <w:r>
        <w:rPr>
          <w:rFonts w:hint="default" w:ascii="Times New Roman" w:hAnsi="Times New Roman" w:cs="Times New Roman"/>
          <w:b/>
          <w:bCs/>
          <w:i/>
          <w:iCs/>
          <w:sz w:val="20"/>
          <w:szCs w:val="20"/>
        </w:rPr>
        <w:t xml:space="preserve">based </w:t>
      </w:r>
      <w:r>
        <w:rPr>
          <w:rFonts w:hint="default" w:ascii="Times New Roman" w:hAnsi="Times New Roman" w:cs="Times New Roman"/>
          <w:b/>
          <w:bCs/>
          <w:i/>
          <w:iCs/>
          <w:sz w:val="20"/>
          <w:szCs w:val="20"/>
          <w:lang w:val="en-US" w:eastAsia="zh-CN"/>
        </w:rPr>
        <w:t xml:space="preserve">NR </w:t>
      </w:r>
      <w:r>
        <w:rPr>
          <w:rFonts w:hint="default" w:ascii="Times New Roman" w:hAnsi="Times New Roman" w:cs="Times New Roman"/>
          <w:b/>
          <w:bCs/>
          <w:i/>
          <w:iCs/>
          <w:sz w:val="20"/>
          <w:szCs w:val="20"/>
        </w:rPr>
        <w:t>carrier phase positioning.</w:t>
      </w:r>
      <w:r>
        <w:rPr>
          <w:rFonts w:hint="default" w:ascii="Times New Roman" w:hAnsi="Times New Roman" w:cs="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_Ref32642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sz w:val="20"/>
          <w:szCs w:val="20"/>
        </w:rPr>
        <w:t xml:space="preserve">Proposal 2: </w:t>
      </w:r>
      <w:r>
        <w:rPr>
          <w:rFonts w:hint="default" w:ascii="Times New Roman" w:hAnsi="Times New Roman" w:cs="Times New Roman"/>
          <w:b/>
          <w:bCs/>
          <w:i/>
          <w:iCs/>
          <w:sz w:val="20"/>
          <w:szCs w:val="20"/>
          <w:lang w:val="en-US" w:eastAsia="zh-CN"/>
        </w:rPr>
        <w:t>Support UE/TRP reporting carrier phase measurements together with the RSTD and/or RTOA measurements to LMF.</w:t>
      </w:r>
      <w:r>
        <w:rPr>
          <w:rFonts w:hint="default" w:ascii="Times New Roman" w:hAnsi="Times New Roman" w:cs="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_Ref18399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sz w:val="20"/>
          <w:szCs w:val="20"/>
        </w:rPr>
        <w:t xml:space="preserve">Proposal 3: </w:t>
      </w:r>
      <w:r>
        <w:rPr>
          <w:rFonts w:hint="default" w:ascii="Times New Roman" w:hAnsi="Times New Roman" w:cs="Times New Roman"/>
          <w:b/>
          <w:bCs/>
          <w:i/>
          <w:iCs/>
          <w:sz w:val="20"/>
          <w:szCs w:val="20"/>
          <w:lang w:val="en-US" w:eastAsia="zh-CN"/>
        </w:rPr>
        <w:t>Support UE/TRP reporting the carrier phase measurement quality together with the phase measurement result</w:t>
      </w:r>
      <w:r>
        <w:rPr>
          <w:rFonts w:hint="default" w:ascii="Times New Roman" w:hAnsi="Times New Roman" w:cs="Times New Roman"/>
          <w:b/>
          <w:bCs/>
          <w:i/>
          <w:iCs/>
          <w:sz w:val="20"/>
          <w:szCs w:val="20"/>
        </w:rPr>
        <w:t>.</w:t>
      </w:r>
      <w:r>
        <w:rPr>
          <w:rFonts w:hint="default" w:ascii="Times New Roman" w:hAnsi="Times New Roman" w:cs="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_Ref18301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sz w:val="20"/>
          <w:szCs w:val="20"/>
        </w:rPr>
        <w:t xml:space="preserve">Proposal 4: </w:t>
      </w:r>
      <w:r>
        <w:rPr>
          <w:rFonts w:hint="default" w:ascii="Times New Roman" w:hAnsi="Times New Roman" w:cs="Times New Roman"/>
          <w:b/>
          <w:bCs/>
          <w:i/>
          <w:iCs/>
          <w:sz w:val="20"/>
          <w:szCs w:val="20"/>
          <w:lang w:val="en-US" w:eastAsia="zh-CN"/>
        </w:rPr>
        <w:t>Support UE/TRP reporting the carrier phase of the first path only at least for Rel-18.</w:t>
      </w:r>
      <w:r>
        <w:rPr>
          <w:rFonts w:hint="default" w:ascii="Times New Roman" w:hAnsi="Times New Roman" w:cs="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_Ref12105 \h </w:instrText>
      </w:r>
      <w:r>
        <w:rPr>
          <w:rFonts w:hint="default" w:ascii="Times New Roman" w:hAnsi="Times New Roman" w:cs="Times New Roman"/>
          <w:b/>
          <w:bCs/>
          <w:i/>
          <w:sz w:val="20"/>
          <w:szCs w:val="20"/>
        </w:rPr>
        <w:fldChar w:fldCharType="separate"/>
      </w:r>
      <w:r>
        <w:rPr>
          <w:rFonts w:hint="default" w:ascii="Times New Roman" w:hAnsi="Times New Roman" w:eastAsia="宋体" w:cs="Times New Roman"/>
          <w:b/>
          <w:bCs/>
          <w:i/>
          <w:sz w:val="20"/>
          <w:szCs w:val="20"/>
        </w:rPr>
        <w:t xml:space="preserve">Proposal 5: </w:t>
      </w:r>
      <w:r>
        <w:rPr>
          <w:rFonts w:hint="default" w:ascii="Times New Roman" w:hAnsi="Times New Roman" w:eastAsia="宋体" w:cs="Times New Roman"/>
          <w:b/>
          <w:bCs/>
          <w:i/>
          <w:sz w:val="20"/>
          <w:szCs w:val="20"/>
          <w:lang w:val="en-US" w:eastAsia="zh-CN"/>
        </w:rPr>
        <w:t>For DL UE-based carrier phase positioning, the ARP or carrier phase error of the TRP can be delivered by LMF.</w:t>
      </w:r>
      <w:r>
        <w:rPr>
          <w:rFonts w:hint="default" w:ascii="Times New Roman" w:hAnsi="Times New Roman" w:cs="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_Ref12108 \h </w:instrText>
      </w:r>
      <w:r>
        <w:rPr>
          <w:rFonts w:hint="default" w:ascii="Times New Roman" w:hAnsi="Times New Roman" w:cs="Times New Roman"/>
          <w:b/>
          <w:bCs/>
          <w:i/>
          <w:sz w:val="20"/>
          <w:szCs w:val="20"/>
        </w:rPr>
        <w:fldChar w:fldCharType="separate"/>
      </w:r>
      <w:r>
        <w:rPr>
          <w:rFonts w:hint="default" w:ascii="Times New Roman" w:hAnsi="Times New Roman" w:eastAsia="宋体" w:cs="Times New Roman"/>
          <w:b/>
          <w:bCs/>
          <w:i/>
          <w:sz w:val="20"/>
          <w:szCs w:val="20"/>
        </w:rPr>
        <w:t>Proposal 6:</w:t>
      </w:r>
      <w:r>
        <w:rPr>
          <w:rFonts w:hint="default" w:ascii="Times New Roman" w:hAnsi="Times New Roman" w:eastAsia="宋体" w:cs="Times New Roman"/>
          <w:b/>
          <w:bCs/>
          <w:i/>
          <w:sz w:val="20"/>
          <w:szCs w:val="20"/>
          <w:lang w:val="en-US" w:eastAsia="zh-CN"/>
        </w:rPr>
        <w:t xml:space="preserve"> For UE-based carrier phase positioning, the carrier phase error can be reported by PRU to LMF.</w:t>
      </w:r>
      <w:r>
        <w:rPr>
          <w:rFonts w:hint="default" w:ascii="Times New Roman" w:hAnsi="Times New Roman" w:cs="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_Ref18323 \h </w:instrText>
      </w:r>
      <w:r>
        <w:rPr>
          <w:rFonts w:hint="default" w:ascii="Times New Roman" w:hAnsi="Times New Roman" w:cs="Times New Roman"/>
          <w:b/>
          <w:bCs/>
          <w:i/>
          <w:sz w:val="20"/>
          <w:szCs w:val="20"/>
        </w:rPr>
        <w:fldChar w:fldCharType="separate"/>
      </w:r>
      <w:r>
        <w:rPr>
          <w:rFonts w:hint="default" w:ascii="Times New Roman" w:hAnsi="Times New Roman" w:eastAsia="宋体" w:cs="Times New Roman"/>
          <w:b/>
          <w:bCs/>
          <w:i/>
          <w:sz w:val="20"/>
          <w:szCs w:val="20"/>
        </w:rPr>
        <w:t>Proposal 7:</w:t>
      </w:r>
      <w:r>
        <w:rPr>
          <w:rFonts w:hint="default" w:ascii="Times New Roman" w:hAnsi="Times New Roman" w:eastAsia="宋体" w:cs="Times New Roman"/>
          <w:b/>
          <w:bCs/>
          <w:i/>
          <w:sz w:val="20"/>
          <w:szCs w:val="20"/>
          <w:lang w:val="en-US" w:eastAsia="zh-CN"/>
        </w:rPr>
        <w:t xml:space="preserve"> For UE-based carrier phase positioning, support LMF forwarding the carrier phase measurement results of the PRU to the target UE.</w:t>
      </w:r>
      <w:r>
        <w:rPr>
          <w:rFonts w:hint="default" w:ascii="Times New Roman" w:hAnsi="Times New Roman" w:cs="Times New Roman"/>
          <w:b/>
          <w:bCs/>
          <w:i/>
          <w:sz w:val="20"/>
          <w:szCs w:val="20"/>
        </w:rPr>
        <w:fldChar w:fldCharType="end"/>
      </w:r>
    </w:p>
    <w:p>
      <w:pPr>
        <w:autoSpaceDE w:val="0"/>
        <w:autoSpaceDN w:val="0"/>
        <w:adjustRightInd w:val="0"/>
        <w:snapToGrid w:val="0"/>
        <w:spacing w:after="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_Ref18330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iCs/>
          <w:sz w:val="20"/>
          <w:szCs w:val="20"/>
        </w:rPr>
        <w:t>Proposal 8: For supporting a mechanism to ensure simultaneous measurements of DL PRS for a target UE and a PRU, the following options can be supported:</w:t>
      </w:r>
      <w:r>
        <w:rPr>
          <w:rFonts w:hint="default" w:ascii="Times New Roman" w:hAnsi="Times New Roman" w:cs="Times New Roman"/>
          <w:b/>
          <w:bCs/>
          <w:i/>
          <w:sz w:val="20"/>
          <w:szCs w:val="20"/>
        </w:rPr>
        <w:fldChar w:fldCharType="end"/>
      </w:r>
    </w:p>
    <w:p>
      <w:pPr>
        <w:widowControl w:val="0"/>
        <w:snapToGrid w:val="0"/>
        <w:spacing w:after="0" w:line="240" w:lineRule="auto"/>
        <w:ind w:firstLine="720" w:firstLineChars="0"/>
        <w:jc w:val="both"/>
        <w:rPr>
          <w:rFonts w:hint="default" w:ascii="Times New Roman" w:hAnsi="Times New Roman" w:cs="Times New Roman"/>
          <w:b/>
          <w:bCs/>
          <w:i/>
          <w:iCs/>
          <w:sz w:val="20"/>
          <w:szCs w:val="20"/>
        </w:rPr>
      </w:pPr>
      <w:r>
        <w:rPr>
          <w:rFonts w:hint="default" w:ascii="Times New Roman" w:hAnsi="Times New Roman" w:cs="Times New Roman"/>
          <w:b/>
          <w:bCs/>
          <w:i/>
          <w:iCs/>
          <w:sz w:val="20"/>
          <w:szCs w:val="20"/>
        </w:rPr>
        <w:t>-LMF configures the same measurement time slot(s)/window(s) for PRU and UE.</w:t>
      </w:r>
    </w:p>
    <w:p>
      <w:pPr>
        <w:widowControl w:val="0"/>
        <w:snapToGrid w:val="0"/>
        <w:spacing w:after="0" w:line="240" w:lineRule="auto"/>
        <w:ind w:firstLine="720" w:firstLineChars="0"/>
        <w:jc w:val="both"/>
        <w:rPr>
          <w:rFonts w:hint="default" w:ascii="Times New Roman" w:hAnsi="Times New Roman" w:cs="Times New Roman"/>
          <w:b/>
          <w:bCs/>
          <w:i/>
          <w:iCs/>
          <w:sz w:val="20"/>
          <w:szCs w:val="20"/>
        </w:rPr>
      </w:pPr>
      <w:r>
        <w:rPr>
          <w:rFonts w:hint="default" w:ascii="Times New Roman" w:hAnsi="Times New Roman" w:cs="Times New Roman"/>
          <w:b/>
          <w:bCs/>
          <w:i/>
          <w:iCs/>
          <w:sz w:val="20"/>
          <w:szCs w:val="20"/>
        </w:rPr>
        <w:t>-LMF configures the same PRS instance(s) to be measured by PRU and UE.</w:t>
      </w:r>
    </w:p>
    <w:p>
      <w:pPr>
        <w:widowControl w:val="0"/>
        <w:snapToGrid w:val="0"/>
        <w:spacing w:after="0" w:line="240" w:lineRule="auto"/>
        <w:ind w:firstLine="720" w:firstLineChars="0"/>
        <w:jc w:val="both"/>
        <w:rPr>
          <w:rFonts w:hint="default" w:ascii="Times New Roman" w:hAnsi="Times New Roman" w:cs="Times New Roman"/>
          <w:b/>
          <w:bCs/>
          <w:i/>
          <w:iCs/>
          <w:sz w:val="20"/>
          <w:szCs w:val="20"/>
        </w:rPr>
      </w:pPr>
    </w:p>
    <w:p>
      <w:pPr>
        <w:widowControl w:val="0"/>
        <w:snapToGrid w:val="0"/>
        <w:spacing w:after="0" w:line="240" w:lineRule="auto"/>
        <w:jc w:val="both"/>
        <w:rPr>
          <w:rFonts w:hint="default" w:ascii="Times New Roman" w:hAnsi="Times New Roman" w:cs="Times New Roman"/>
          <w:b/>
          <w:bCs/>
          <w:i/>
          <w:iCs/>
          <w:sz w:val="20"/>
          <w:szCs w:val="20"/>
          <w:lang w:val="en-US" w:eastAsia="zh-CN"/>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_Ref18336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iCs/>
          <w:sz w:val="20"/>
          <w:szCs w:val="20"/>
        </w:rPr>
        <w:t>Proposal 9: For supporting a mechanism to ensure simultaneous transmissions of UL SRS for a target UE and a PRU</w:t>
      </w:r>
      <w:r>
        <w:rPr>
          <w:rFonts w:hint="default" w:ascii="Times New Roman" w:hAnsi="Times New Roman" w:cs="Times New Roman"/>
          <w:b/>
          <w:bCs/>
          <w:i/>
          <w:iCs/>
          <w:sz w:val="20"/>
          <w:szCs w:val="20"/>
          <w:lang w:val="en-US" w:eastAsia="zh-CN"/>
        </w:rPr>
        <w:t>, LMF can request a list of slots or windows for SRS transmission.</w:t>
      </w:r>
    </w:p>
    <w:p>
      <w:pPr>
        <w:autoSpaceDE w:val="0"/>
        <w:autoSpaceDN w:val="0"/>
        <w:adjustRightInd w:val="0"/>
        <w:snapToGrid w:val="0"/>
        <w:spacing w:after="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end"/>
      </w:r>
    </w:p>
    <w:p>
      <w:pPr>
        <w:autoSpaceDE w:val="0"/>
        <w:autoSpaceDN w:val="0"/>
        <w:adjustRightInd w:val="0"/>
        <w:snapToGrid w:val="0"/>
        <w:spacing w:after="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_Ref31713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iCs/>
          <w:sz w:val="20"/>
          <w:szCs w:val="20"/>
        </w:rPr>
        <w:t>Proposal 10: Support measuring and reporting carrier phase of multiple sub-carriers/segments in one carrier/PFL</w:t>
      </w:r>
      <w:r>
        <w:rPr>
          <w:rFonts w:hint="default" w:ascii="Times New Roman" w:hAnsi="Times New Roman" w:cs="Times New Roman"/>
          <w:b/>
          <w:bCs/>
          <w:i/>
          <w:sz w:val="20"/>
          <w:szCs w:val="20"/>
        </w:rPr>
        <w:fldChar w:fldCharType="end"/>
      </w:r>
      <w:r>
        <w:rPr>
          <w:rFonts w:hint="default" w:ascii="Times New Roman" w:hAnsi="Times New Roman" w:cs="Times New Roman"/>
          <w:b/>
          <w:bCs/>
          <w:i/>
          <w:sz w:val="20"/>
          <w:szCs w:val="20"/>
          <w:lang w:val="en-US" w:eastAsia="zh-CN"/>
        </w:rPr>
        <w:t>.</w:t>
      </w:r>
      <w:r>
        <w:rPr>
          <w:rFonts w:hint="default" w:ascii="Times New Roman" w:hAnsi="Times New Roman" w:cs="Times New Roman"/>
          <w:b/>
          <w:bCs/>
          <w:i/>
          <w:sz w:val="20"/>
          <w:szCs w:val="20"/>
        </w:rPr>
        <w:t xml:space="preserve"> </w:t>
      </w:r>
    </w:p>
    <w:p>
      <w:pPr>
        <w:autoSpaceDE w:val="0"/>
        <w:autoSpaceDN w:val="0"/>
        <w:adjustRightInd w:val="0"/>
        <w:snapToGrid w:val="0"/>
        <w:spacing w:after="180" w:afterLines="50" w:line="240" w:lineRule="auto"/>
        <w:ind w:firstLine="720"/>
        <w:jc w:val="both"/>
        <w:rPr>
          <w:rFonts w:hint="default" w:ascii="Times New Roman" w:hAnsi="Times New Roman" w:cs="Times New Roman" w:eastAsiaTheme="minorEastAsia"/>
          <w:b/>
          <w:bCs/>
          <w:i/>
          <w:sz w:val="20"/>
          <w:szCs w:val="20"/>
          <w:lang w:val="en-US" w:eastAsia="zh-CN"/>
        </w:rPr>
      </w:pPr>
      <w:r>
        <w:rPr>
          <w:rFonts w:hint="default" w:ascii="Times New Roman" w:hAnsi="Times New Roman" w:cs="Times New Roman"/>
          <w:b/>
          <w:bCs/>
          <w:i/>
          <w:sz w:val="20"/>
          <w:szCs w:val="20"/>
        </w:rPr>
        <w:t>- center frequency or λ should be informed for each selected sub-carrier/segment</w:t>
      </w:r>
      <w:r>
        <w:rPr>
          <w:rFonts w:hint="default" w:ascii="Times New Roman" w:hAnsi="Times New Roman" w:cs="Times New Roman"/>
          <w:b/>
          <w:bCs/>
          <w:i/>
          <w:sz w:val="20"/>
          <w:szCs w:val="20"/>
          <w:lang w:val="en-US" w:eastAsia="zh-CN"/>
        </w:rPr>
        <w:t>.</w:t>
      </w:r>
    </w:p>
    <w:p>
      <w:pPr>
        <w:autoSpaceDE w:val="0"/>
        <w:autoSpaceDN w:val="0"/>
        <w:adjustRightInd w:val="0"/>
        <w:snapToGrid w:val="0"/>
        <w:spacing w:after="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_Ref18376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iCs/>
          <w:sz w:val="20"/>
          <w:szCs w:val="20"/>
        </w:rPr>
        <w:t>Proposal 11: If a UE/TRP is supported to report the carrier phase measurements of more than one frequencies within a PFL/carrier, the following enhancement can be supported:</w:t>
      </w:r>
      <w:r>
        <w:rPr>
          <w:rFonts w:hint="default" w:ascii="Times New Roman" w:hAnsi="Times New Roman" w:cs="Times New Roman"/>
          <w:b/>
          <w:bCs/>
          <w:i/>
          <w:sz w:val="20"/>
          <w:szCs w:val="20"/>
        </w:rPr>
        <w:fldChar w:fldCharType="end"/>
      </w:r>
    </w:p>
    <w:p>
      <w:pPr>
        <w:autoSpaceDE w:val="0"/>
        <w:autoSpaceDN w:val="0"/>
        <w:adjustRightInd w:val="0"/>
        <w:snapToGrid w:val="0"/>
        <w:spacing w:after="0" w:line="240" w:lineRule="auto"/>
        <w:ind w:firstLine="720"/>
        <w:jc w:val="both"/>
        <w:rPr>
          <w:rFonts w:hint="default" w:ascii="Times New Roman" w:hAnsi="Times New Roman" w:cs="Times New Roman" w:eastAsiaTheme="minorEastAsia"/>
          <w:b/>
          <w:bCs/>
          <w:i/>
          <w:sz w:val="20"/>
          <w:szCs w:val="20"/>
          <w:lang w:val="en-US" w:eastAsia="zh-CN"/>
        </w:rPr>
      </w:pPr>
      <w:r>
        <w:rPr>
          <w:rFonts w:hint="default" w:ascii="Times New Roman" w:hAnsi="Times New Roman" w:cs="Times New Roman"/>
          <w:b/>
          <w:bCs/>
          <w:i/>
          <w:sz w:val="20"/>
          <w:szCs w:val="20"/>
        </w:rPr>
        <w:t>-LMF configures the number of PRBs/sub-carriers for each carrier phase measurement report</w:t>
      </w:r>
      <w:r>
        <w:rPr>
          <w:rFonts w:hint="default" w:ascii="Times New Roman" w:hAnsi="Times New Roman" w:cs="Times New Roman"/>
          <w:b/>
          <w:bCs/>
          <w:i/>
          <w:sz w:val="20"/>
          <w:szCs w:val="20"/>
          <w:lang w:val="en-US" w:eastAsia="zh-CN"/>
        </w:rPr>
        <w:t>.</w:t>
      </w:r>
    </w:p>
    <w:p>
      <w:pPr>
        <w:autoSpaceDE w:val="0"/>
        <w:autoSpaceDN w:val="0"/>
        <w:adjustRightInd w:val="0"/>
        <w:snapToGrid w:val="0"/>
        <w:spacing w:after="180" w:afterLines="50" w:line="240" w:lineRule="auto"/>
        <w:ind w:firstLine="720"/>
        <w:jc w:val="both"/>
        <w:rPr>
          <w:rFonts w:hint="default" w:ascii="Times New Roman" w:hAnsi="Times New Roman" w:cs="Times New Roman" w:eastAsiaTheme="minorEastAsia"/>
          <w:b/>
          <w:bCs/>
          <w:i/>
          <w:sz w:val="20"/>
          <w:szCs w:val="20"/>
          <w:lang w:val="en-US" w:eastAsia="zh-CN"/>
        </w:rPr>
      </w:pPr>
      <w:r>
        <w:rPr>
          <w:rFonts w:hint="default" w:ascii="Times New Roman" w:hAnsi="Times New Roman" w:cs="Times New Roman"/>
          <w:b/>
          <w:bCs/>
          <w:i/>
          <w:sz w:val="20"/>
          <w:szCs w:val="20"/>
        </w:rPr>
        <w:t>-LMF configures the number of carrier phase measurement reports for each PFL/carrier</w:t>
      </w:r>
      <w:r>
        <w:rPr>
          <w:rFonts w:hint="default" w:ascii="Times New Roman" w:hAnsi="Times New Roman" w:cs="Times New Roman"/>
          <w:b/>
          <w:bCs/>
          <w:i/>
          <w:sz w:val="20"/>
          <w:szCs w:val="20"/>
          <w:lang w:val="en-US" w:eastAsia="zh-CN"/>
        </w:rPr>
        <w:t>.</w:t>
      </w:r>
    </w:p>
    <w:p>
      <w:pPr>
        <w:autoSpaceDE w:val="0"/>
        <w:autoSpaceDN w:val="0"/>
        <w:adjustRightInd w:val="0"/>
        <w:snapToGrid w:val="0"/>
        <w:spacing w:before="180" w:beforeLines="50" w:after="180" w:afterLines="50" w:line="240" w:lineRule="auto"/>
        <w:jc w:val="both"/>
        <w:rPr>
          <w:rFonts w:hint="default" w:ascii="Times New Roman" w:hAnsi="Times New Roman" w:cs="Times New Roman"/>
          <w:b/>
          <w:bCs/>
          <w:i/>
          <w:sz w:val="20"/>
          <w:szCs w:val="20"/>
        </w:rPr>
      </w:pPr>
      <w:r>
        <w:rPr>
          <w:rFonts w:hint="default" w:ascii="Times New Roman" w:hAnsi="Times New Roman" w:cs="Times New Roman"/>
          <w:b/>
          <w:bCs/>
          <w:i/>
          <w:sz w:val="20"/>
          <w:szCs w:val="20"/>
        </w:rPr>
        <w:fldChar w:fldCharType="begin"/>
      </w:r>
      <w:r>
        <w:rPr>
          <w:rFonts w:hint="default" w:ascii="Times New Roman" w:hAnsi="Times New Roman" w:cs="Times New Roman"/>
          <w:b/>
          <w:bCs/>
          <w:i/>
          <w:sz w:val="20"/>
          <w:szCs w:val="20"/>
        </w:rPr>
        <w:instrText xml:space="preserve"> REF _Ref12141 \h </w:instrText>
      </w:r>
      <w:r>
        <w:rPr>
          <w:rFonts w:hint="default" w:ascii="Times New Roman" w:hAnsi="Times New Roman" w:cs="Times New Roman"/>
          <w:b/>
          <w:bCs/>
          <w:i/>
          <w:sz w:val="20"/>
          <w:szCs w:val="20"/>
        </w:rPr>
        <w:fldChar w:fldCharType="separate"/>
      </w:r>
      <w:r>
        <w:rPr>
          <w:rFonts w:hint="default" w:ascii="Times New Roman" w:hAnsi="Times New Roman" w:cs="Times New Roman"/>
          <w:b/>
          <w:bCs/>
          <w:i/>
          <w:sz w:val="20"/>
          <w:szCs w:val="20"/>
        </w:rPr>
        <w:t>Proposal 12: Phase Error Group(PEG) should be defined for carrier phase measurement, where phase measurement errors in a PEG is within a margin value.</w:t>
      </w:r>
      <w:r>
        <w:rPr>
          <w:rFonts w:hint="default" w:ascii="Times New Roman" w:hAnsi="Times New Roman" w:cs="Times New Roman"/>
          <w:b/>
          <w:bCs/>
          <w:i/>
          <w:sz w:val="20"/>
          <w:szCs w:val="20"/>
        </w:rPr>
        <w:fldChar w:fldCharType="end"/>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Reference</w:t>
      </w:r>
    </w:p>
    <w:p>
      <w:pPr>
        <w:numPr>
          <w:ilvl w:val="0"/>
          <w:numId w:val="8"/>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 Report of 3GPP TSG RAN WG1 #112 v0.4.0 (Athens, Greece, 27th February – 3rd March 2023).</w:t>
      </w:r>
    </w:p>
    <w:p>
      <w:pPr>
        <w:numPr>
          <w:ilvl w:val="0"/>
          <w:numId w:val="8"/>
        </w:numPr>
        <w:autoSpaceDE w:val="0"/>
        <w:autoSpaceDN w:val="0"/>
        <w:adjustRightInd w:val="0"/>
        <w:snapToGrid w:val="0"/>
        <w:spacing w:after="0" w:line="240" w:lineRule="auto"/>
        <w:jc w:val="both"/>
        <w:rPr>
          <w:rFonts w:ascii="Times New Roman" w:hAnsi="Times New Roman" w:eastAsia="宋体"/>
          <w:sz w:val="20"/>
          <w:szCs w:val="20"/>
        </w:rPr>
      </w:pPr>
      <w:bookmarkStart w:id="25" w:name="_Ref113546592"/>
      <w:r>
        <w:rPr>
          <w:rFonts w:ascii="Times New Roman" w:hAnsi="Times New Roman" w:eastAsia="宋体"/>
          <w:sz w:val="20"/>
          <w:szCs w:val="20"/>
        </w:rPr>
        <w:t>RP-223549</w:t>
      </w:r>
      <w:r>
        <w:rPr>
          <w:rFonts w:hint="eastAsia" w:ascii="Times New Roman" w:hAnsi="Times New Roman" w:eastAsia="宋体"/>
          <w:sz w:val="20"/>
          <w:szCs w:val="20"/>
        </w:rPr>
        <w:t xml:space="preserve">, </w:t>
      </w:r>
      <w:r>
        <w:rPr>
          <w:rFonts w:ascii="Times New Roman" w:hAnsi="Times New Roman" w:eastAsia="宋体"/>
          <w:sz w:val="20"/>
          <w:szCs w:val="20"/>
        </w:rPr>
        <w:t>New WID on Expanded and Improved NR Positioning</w:t>
      </w:r>
      <w:r>
        <w:rPr>
          <w:rFonts w:hint="eastAsia" w:ascii="Times New Roman" w:hAnsi="Times New Roman" w:eastAsia="宋体"/>
          <w:sz w:val="20"/>
          <w:szCs w:val="20"/>
        </w:rPr>
        <w:t xml:space="preserve">, </w:t>
      </w:r>
      <w:r>
        <w:rPr>
          <w:rFonts w:ascii="Times New Roman" w:hAnsi="Times New Roman" w:eastAsia="宋体"/>
          <w:sz w:val="20"/>
          <w:szCs w:val="20"/>
        </w:rPr>
        <w:t>Intel Corporation, CATT, Ericsson</w:t>
      </w:r>
      <w:r>
        <w:rPr>
          <w:rFonts w:hint="eastAsia" w:ascii="Times New Roman" w:hAnsi="Times New Roman" w:eastAsia="宋体"/>
          <w:sz w:val="20"/>
          <w:szCs w:val="20"/>
        </w:rPr>
        <w:t xml:space="preserve">, </w:t>
      </w:r>
      <w:r>
        <w:rPr>
          <w:rFonts w:ascii="Times New Roman" w:hAnsi="Times New Roman" w:eastAsia="宋体"/>
          <w:sz w:val="20"/>
          <w:szCs w:val="20"/>
        </w:rPr>
        <w:t>3GPP TSG RAN Meeting #98-e</w:t>
      </w:r>
      <w:r>
        <w:rPr>
          <w:rFonts w:hint="eastAsia" w:ascii="Times New Roman" w:hAnsi="Times New Roman" w:eastAsia="宋体"/>
          <w:sz w:val="20"/>
          <w:szCs w:val="20"/>
        </w:rPr>
        <w:t>.</w:t>
      </w:r>
      <w:bookmarkEnd w:id="25"/>
    </w:p>
    <w:p>
      <w:pPr>
        <w:numPr>
          <w:ilvl w:val="0"/>
          <w:numId w:val="8"/>
        </w:numPr>
        <w:autoSpaceDE w:val="0"/>
        <w:autoSpaceDN w:val="0"/>
        <w:adjustRightInd w:val="0"/>
        <w:snapToGrid w:val="0"/>
        <w:spacing w:after="0" w:line="240" w:lineRule="auto"/>
        <w:jc w:val="both"/>
        <w:rPr>
          <w:rFonts w:ascii="Times New Roman" w:hAnsi="Times New Roman" w:eastAsia="宋体"/>
          <w:sz w:val="20"/>
          <w:szCs w:val="20"/>
        </w:rPr>
      </w:pPr>
      <w:bookmarkStart w:id="26" w:name="_Ref113987859"/>
      <w:r>
        <w:rPr>
          <w:rFonts w:ascii="Times New Roman" w:hAnsi="Times New Roman" w:eastAsia="宋体"/>
          <w:sz w:val="20"/>
          <w:szCs w:val="20"/>
        </w:rPr>
        <w:t>R1-2209215, Discussion on carrier phase measurement based positioning, ZTE, 3GPP RAN1#110b-e.</w:t>
      </w:r>
      <w:bookmarkEnd w:id="26"/>
    </w:p>
    <w:p>
      <w:pPr>
        <w:numPr>
          <w:ilvl w:val="0"/>
          <w:numId w:val="8"/>
        </w:numPr>
        <w:autoSpaceDE w:val="0"/>
        <w:autoSpaceDN w:val="0"/>
        <w:adjustRightInd w:val="0"/>
        <w:snapToGrid w:val="0"/>
        <w:spacing w:after="0" w:line="240" w:lineRule="auto"/>
        <w:jc w:val="both"/>
        <w:rPr>
          <w:rFonts w:ascii="Times New Roman" w:hAnsi="Times New Roman" w:eastAsia="宋体"/>
          <w:i/>
          <w:iCs/>
          <w:sz w:val="20"/>
          <w:szCs w:val="20"/>
        </w:rPr>
      </w:pPr>
      <w:r>
        <w:rPr>
          <w:rFonts w:ascii="Times New Roman" w:hAnsi="Times New Roman" w:eastAsia="宋体"/>
          <w:sz w:val="20"/>
          <w:szCs w:val="20"/>
        </w:rPr>
        <w:t>R1-2212520, Discussion on carrier phase measurement based positioning, ZTE, 3GPP RAN1#111.</w:t>
      </w:r>
      <w:bookmarkStart w:id="27" w:name="_Hlk119535374"/>
    </w:p>
    <w:p>
      <w:pPr>
        <w:numPr>
          <w:ilvl w:val="0"/>
          <w:numId w:val="8"/>
        </w:numPr>
        <w:autoSpaceDE w:val="0"/>
        <w:autoSpaceDN w:val="0"/>
        <w:adjustRightInd w:val="0"/>
        <w:snapToGrid w:val="0"/>
        <w:spacing w:after="0" w:line="240" w:lineRule="auto"/>
        <w:jc w:val="both"/>
        <w:rPr>
          <w:rFonts w:ascii="Times New Roman" w:hAnsi="Times New Roman"/>
          <w:sz w:val="20"/>
          <w:szCs w:val="20"/>
        </w:rPr>
      </w:pPr>
      <w:r>
        <w:rPr>
          <w:rFonts w:ascii="Times New Roman" w:hAnsi="Times New Roman" w:eastAsia="宋体"/>
          <w:sz w:val="20"/>
          <w:szCs w:val="20"/>
        </w:rPr>
        <w:t xml:space="preserve">R1-2301915, LS on </w:t>
      </w:r>
      <w:bookmarkEnd w:id="27"/>
      <w:r>
        <w:rPr>
          <w:rFonts w:ascii="Times New Roman" w:hAnsi="Times New Roman" w:eastAsia="宋体"/>
          <w:sz w:val="20"/>
          <w:szCs w:val="20"/>
        </w:rPr>
        <w:t>PRU procedures, A2 #155, (Athens, Greece, 27th February – 3rd March 2023).</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rPr>
        <w:rFonts w:hint="default"/>
        <w:i w:val="0"/>
        <w:iCs w:val="0"/>
      </w:rPr>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C2722256"/>
    <w:multiLevelType w:val="singleLevel"/>
    <w:tmpl w:val="C2722256"/>
    <w:lvl w:ilvl="0" w:tentative="0">
      <w:start w:val="1"/>
      <w:numFmt w:val="decimal"/>
      <w:suff w:val="space"/>
      <w:lvlText w:val="%1)"/>
      <w:lvlJc w:val="left"/>
    </w:lvl>
  </w:abstractNum>
  <w:abstractNum w:abstractNumId="3">
    <w:nsid w:val="2FB57C49"/>
    <w:multiLevelType w:val="multilevel"/>
    <w:tmpl w:val="2FB57C49"/>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2BE4826"/>
    <w:multiLevelType w:val="multilevel"/>
    <w:tmpl w:val="42BE482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4B34F0D"/>
    <w:multiLevelType w:val="multilevel"/>
    <w:tmpl w:val="44B34F0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66F5362"/>
    <w:multiLevelType w:val="multilevel"/>
    <w:tmpl w:val="766F53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3"/>
  </w:num>
  <w:num w:numId="4">
    <w:abstractNumId w:val="7"/>
  </w:num>
  <w:num w:numId="5">
    <w:abstractNumId w:val="6"/>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08"/>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5D"/>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6C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1FAE"/>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39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63D"/>
    <w:rsid w:val="000B2A46"/>
    <w:rsid w:val="000B2A84"/>
    <w:rsid w:val="000B2A98"/>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E91"/>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424"/>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2990"/>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115"/>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420"/>
    <w:rsid w:val="001766ED"/>
    <w:rsid w:val="001769F1"/>
    <w:rsid w:val="00176B19"/>
    <w:rsid w:val="00176B66"/>
    <w:rsid w:val="00176C11"/>
    <w:rsid w:val="00176C67"/>
    <w:rsid w:val="00176D05"/>
    <w:rsid w:val="0017730A"/>
    <w:rsid w:val="001773F2"/>
    <w:rsid w:val="001774B7"/>
    <w:rsid w:val="00177926"/>
    <w:rsid w:val="00177D21"/>
    <w:rsid w:val="00177ECD"/>
    <w:rsid w:val="00180357"/>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2B9"/>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5F18"/>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4F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75"/>
    <w:rsid w:val="003908BC"/>
    <w:rsid w:val="00390D2F"/>
    <w:rsid w:val="00390D93"/>
    <w:rsid w:val="00390F2A"/>
    <w:rsid w:val="00391454"/>
    <w:rsid w:val="003918F2"/>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51D"/>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59A"/>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2F63"/>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5D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0FB"/>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2E8"/>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C2B"/>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AB"/>
    <w:rsid w:val="004F398E"/>
    <w:rsid w:val="004F39AB"/>
    <w:rsid w:val="004F3AA1"/>
    <w:rsid w:val="004F3B42"/>
    <w:rsid w:val="004F3C7C"/>
    <w:rsid w:val="004F3CCF"/>
    <w:rsid w:val="004F3D39"/>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3E21"/>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16A"/>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4CB"/>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45"/>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8EE"/>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5DE"/>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6B7"/>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B57"/>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262"/>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958"/>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AB"/>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DBC"/>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27"/>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867"/>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8"/>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5F0"/>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A51"/>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DEB"/>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F6"/>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8B"/>
    <w:rsid w:val="00776ED8"/>
    <w:rsid w:val="007772D4"/>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E91"/>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5FCA"/>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3FFB"/>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65"/>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5A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542"/>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4A86"/>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0EAF"/>
    <w:rsid w:val="00851058"/>
    <w:rsid w:val="008511E6"/>
    <w:rsid w:val="008515B3"/>
    <w:rsid w:val="008515EC"/>
    <w:rsid w:val="00851659"/>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1E"/>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B9"/>
    <w:rsid w:val="00860FD1"/>
    <w:rsid w:val="0086122A"/>
    <w:rsid w:val="00861708"/>
    <w:rsid w:val="00861805"/>
    <w:rsid w:val="00861A4A"/>
    <w:rsid w:val="00861A83"/>
    <w:rsid w:val="00861B3A"/>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6B4E"/>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1FE3"/>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693"/>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2C"/>
    <w:rsid w:val="009A0572"/>
    <w:rsid w:val="009A078C"/>
    <w:rsid w:val="009A0940"/>
    <w:rsid w:val="009A1240"/>
    <w:rsid w:val="009A130F"/>
    <w:rsid w:val="009A13AD"/>
    <w:rsid w:val="009A18CA"/>
    <w:rsid w:val="009A193C"/>
    <w:rsid w:val="009A209D"/>
    <w:rsid w:val="009A2116"/>
    <w:rsid w:val="009A22B7"/>
    <w:rsid w:val="009A232F"/>
    <w:rsid w:val="009A3031"/>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CFC"/>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2F1"/>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D59"/>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1DC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0C5"/>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C77"/>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78"/>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D14"/>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67BF0"/>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56D"/>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6F04"/>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970"/>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BE7"/>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690"/>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5C"/>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AAD"/>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0C"/>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01C"/>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1A"/>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C4"/>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34B"/>
    <w:rsid w:val="00B85470"/>
    <w:rsid w:val="00B85800"/>
    <w:rsid w:val="00B858A2"/>
    <w:rsid w:val="00B85942"/>
    <w:rsid w:val="00B85E01"/>
    <w:rsid w:val="00B85F9C"/>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16A"/>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200"/>
    <w:rsid w:val="00C14338"/>
    <w:rsid w:val="00C144AE"/>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5F5"/>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37F"/>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5B7"/>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A9"/>
    <w:rsid w:val="00D029C3"/>
    <w:rsid w:val="00D02C56"/>
    <w:rsid w:val="00D02CAC"/>
    <w:rsid w:val="00D02D53"/>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6BB7"/>
    <w:rsid w:val="00D0743E"/>
    <w:rsid w:val="00D07543"/>
    <w:rsid w:val="00D0754D"/>
    <w:rsid w:val="00D076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BE5"/>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542"/>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4CB"/>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62B"/>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092"/>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1EF"/>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77"/>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6F48"/>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5CC"/>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C73"/>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8CF"/>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B0"/>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4EB"/>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00"/>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AD"/>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CD0"/>
    <w:rsid w:val="00F63D00"/>
    <w:rsid w:val="00F641FB"/>
    <w:rsid w:val="00F64311"/>
    <w:rsid w:val="00F644C4"/>
    <w:rsid w:val="00F646C0"/>
    <w:rsid w:val="00F64B1F"/>
    <w:rsid w:val="00F64CA2"/>
    <w:rsid w:val="00F65160"/>
    <w:rsid w:val="00F651F0"/>
    <w:rsid w:val="00F65259"/>
    <w:rsid w:val="00F65292"/>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C47"/>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8E2"/>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90B2A"/>
    <w:rsid w:val="012E3D59"/>
    <w:rsid w:val="012E78A0"/>
    <w:rsid w:val="013340AD"/>
    <w:rsid w:val="01384A19"/>
    <w:rsid w:val="013A5D59"/>
    <w:rsid w:val="013C501C"/>
    <w:rsid w:val="013D4FA6"/>
    <w:rsid w:val="01464F0E"/>
    <w:rsid w:val="015602B3"/>
    <w:rsid w:val="01590814"/>
    <w:rsid w:val="01592BEE"/>
    <w:rsid w:val="01657634"/>
    <w:rsid w:val="01697CD6"/>
    <w:rsid w:val="016B6DD7"/>
    <w:rsid w:val="01701670"/>
    <w:rsid w:val="0171562A"/>
    <w:rsid w:val="01742CDF"/>
    <w:rsid w:val="017729EB"/>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EE5FA2"/>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A545F"/>
    <w:rsid w:val="031F008D"/>
    <w:rsid w:val="032A509F"/>
    <w:rsid w:val="032F4F77"/>
    <w:rsid w:val="03334938"/>
    <w:rsid w:val="0333596C"/>
    <w:rsid w:val="03375E7B"/>
    <w:rsid w:val="033912FE"/>
    <w:rsid w:val="03394321"/>
    <w:rsid w:val="03406AD4"/>
    <w:rsid w:val="034938C7"/>
    <w:rsid w:val="034E4F0F"/>
    <w:rsid w:val="034F290D"/>
    <w:rsid w:val="03513AB2"/>
    <w:rsid w:val="035279F8"/>
    <w:rsid w:val="03535FAB"/>
    <w:rsid w:val="035A6727"/>
    <w:rsid w:val="0360437B"/>
    <w:rsid w:val="03646BD7"/>
    <w:rsid w:val="037C715A"/>
    <w:rsid w:val="03826E5C"/>
    <w:rsid w:val="03892991"/>
    <w:rsid w:val="038C02EB"/>
    <w:rsid w:val="038C6EF9"/>
    <w:rsid w:val="038E2E18"/>
    <w:rsid w:val="038F1DC9"/>
    <w:rsid w:val="03944A19"/>
    <w:rsid w:val="039545AE"/>
    <w:rsid w:val="03995C8A"/>
    <w:rsid w:val="03A4198E"/>
    <w:rsid w:val="03AD0569"/>
    <w:rsid w:val="03AF5D06"/>
    <w:rsid w:val="03BA4249"/>
    <w:rsid w:val="03C74561"/>
    <w:rsid w:val="03CE5373"/>
    <w:rsid w:val="03D11A1D"/>
    <w:rsid w:val="03D61EA0"/>
    <w:rsid w:val="03D974C6"/>
    <w:rsid w:val="03DC24B8"/>
    <w:rsid w:val="03E54BD6"/>
    <w:rsid w:val="03E73A64"/>
    <w:rsid w:val="03E82126"/>
    <w:rsid w:val="03F63AEF"/>
    <w:rsid w:val="03F8560A"/>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2238"/>
    <w:rsid w:val="0445405A"/>
    <w:rsid w:val="044A1114"/>
    <w:rsid w:val="044C008C"/>
    <w:rsid w:val="04552E83"/>
    <w:rsid w:val="045619E7"/>
    <w:rsid w:val="0456648E"/>
    <w:rsid w:val="04580ED4"/>
    <w:rsid w:val="045D0C1E"/>
    <w:rsid w:val="04616CCB"/>
    <w:rsid w:val="046D380D"/>
    <w:rsid w:val="046F363B"/>
    <w:rsid w:val="0473137D"/>
    <w:rsid w:val="04737418"/>
    <w:rsid w:val="04740FD2"/>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20412"/>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D5C32"/>
    <w:rsid w:val="058E331A"/>
    <w:rsid w:val="05941672"/>
    <w:rsid w:val="059B236F"/>
    <w:rsid w:val="059B32A7"/>
    <w:rsid w:val="059E3691"/>
    <w:rsid w:val="059F5D9C"/>
    <w:rsid w:val="05A558D5"/>
    <w:rsid w:val="05A94C73"/>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601A7"/>
    <w:rsid w:val="06372BD3"/>
    <w:rsid w:val="06373C35"/>
    <w:rsid w:val="063E7244"/>
    <w:rsid w:val="06423400"/>
    <w:rsid w:val="064D07B4"/>
    <w:rsid w:val="06556880"/>
    <w:rsid w:val="06594ACC"/>
    <w:rsid w:val="065D0646"/>
    <w:rsid w:val="065E23F5"/>
    <w:rsid w:val="065E61A2"/>
    <w:rsid w:val="065F0CB5"/>
    <w:rsid w:val="06655FAF"/>
    <w:rsid w:val="067E49F6"/>
    <w:rsid w:val="06870355"/>
    <w:rsid w:val="068F2552"/>
    <w:rsid w:val="06920AD8"/>
    <w:rsid w:val="06973A22"/>
    <w:rsid w:val="0699682E"/>
    <w:rsid w:val="069A134E"/>
    <w:rsid w:val="06A12BB8"/>
    <w:rsid w:val="06A13EFF"/>
    <w:rsid w:val="06A52641"/>
    <w:rsid w:val="06A6721A"/>
    <w:rsid w:val="06AF2646"/>
    <w:rsid w:val="06B277C2"/>
    <w:rsid w:val="06B311F6"/>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6FE2C7E"/>
    <w:rsid w:val="070906C4"/>
    <w:rsid w:val="07114B7A"/>
    <w:rsid w:val="071278E7"/>
    <w:rsid w:val="07186D56"/>
    <w:rsid w:val="072033BE"/>
    <w:rsid w:val="0721733B"/>
    <w:rsid w:val="07251E9C"/>
    <w:rsid w:val="07263238"/>
    <w:rsid w:val="072B2FCC"/>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0FA2"/>
    <w:rsid w:val="08416468"/>
    <w:rsid w:val="084518E0"/>
    <w:rsid w:val="08456538"/>
    <w:rsid w:val="084D265F"/>
    <w:rsid w:val="08533FDF"/>
    <w:rsid w:val="08594EDF"/>
    <w:rsid w:val="085B296F"/>
    <w:rsid w:val="08625F26"/>
    <w:rsid w:val="08655CD7"/>
    <w:rsid w:val="086B2DB5"/>
    <w:rsid w:val="086B5DA6"/>
    <w:rsid w:val="086C2511"/>
    <w:rsid w:val="08754A81"/>
    <w:rsid w:val="087B70D7"/>
    <w:rsid w:val="087B7B82"/>
    <w:rsid w:val="088376E1"/>
    <w:rsid w:val="088722D5"/>
    <w:rsid w:val="089055A6"/>
    <w:rsid w:val="089534B6"/>
    <w:rsid w:val="08980BAB"/>
    <w:rsid w:val="08A44F08"/>
    <w:rsid w:val="08A92676"/>
    <w:rsid w:val="08AA5BF5"/>
    <w:rsid w:val="08AB6847"/>
    <w:rsid w:val="08B14555"/>
    <w:rsid w:val="08C24EFE"/>
    <w:rsid w:val="08C8577F"/>
    <w:rsid w:val="08C97AC5"/>
    <w:rsid w:val="08D52288"/>
    <w:rsid w:val="08D924A9"/>
    <w:rsid w:val="08DA3FA8"/>
    <w:rsid w:val="08DF5637"/>
    <w:rsid w:val="08DF6022"/>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5C5FDB"/>
    <w:rsid w:val="095D178B"/>
    <w:rsid w:val="09616348"/>
    <w:rsid w:val="096C4215"/>
    <w:rsid w:val="096E4B93"/>
    <w:rsid w:val="096E4D5C"/>
    <w:rsid w:val="0978669A"/>
    <w:rsid w:val="097E3F6C"/>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9F843AA"/>
    <w:rsid w:val="09FC238F"/>
    <w:rsid w:val="0A03095D"/>
    <w:rsid w:val="0A0310A5"/>
    <w:rsid w:val="0A031353"/>
    <w:rsid w:val="0A090E68"/>
    <w:rsid w:val="0A0946E5"/>
    <w:rsid w:val="0A0F1C7A"/>
    <w:rsid w:val="0A0F75F4"/>
    <w:rsid w:val="0A1462E4"/>
    <w:rsid w:val="0A1737AA"/>
    <w:rsid w:val="0A264391"/>
    <w:rsid w:val="0A265C5E"/>
    <w:rsid w:val="0A3A062B"/>
    <w:rsid w:val="0A3C576A"/>
    <w:rsid w:val="0A3F2D2D"/>
    <w:rsid w:val="0A47596A"/>
    <w:rsid w:val="0A490945"/>
    <w:rsid w:val="0A4F006D"/>
    <w:rsid w:val="0A545C1F"/>
    <w:rsid w:val="0A663A61"/>
    <w:rsid w:val="0A6A17FC"/>
    <w:rsid w:val="0A6F7D15"/>
    <w:rsid w:val="0A7018D5"/>
    <w:rsid w:val="0A702C52"/>
    <w:rsid w:val="0A7059D4"/>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B1EF7"/>
    <w:rsid w:val="0AFD036E"/>
    <w:rsid w:val="0AFD1EB9"/>
    <w:rsid w:val="0AFE08A2"/>
    <w:rsid w:val="0B0952D2"/>
    <w:rsid w:val="0B0E13D6"/>
    <w:rsid w:val="0B0E3AD4"/>
    <w:rsid w:val="0B176325"/>
    <w:rsid w:val="0B1A291A"/>
    <w:rsid w:val="0B254CAA"/>
    <w:rsid w:val="0B28501B"/>
    <w:rsid w:val="0B2E0454"/>
    <w:rsid w:val="0B311E8B"/>
    <w:rsid w:val="0B316748"/>
    <w:rsid w:val="0B316874"/>
    <w:rsid w:val="0B3440C0"/>
    <w:rsid w:val="0B361B74"/>
    <w:rsid w:val="0B3B65E0"/>
    <w:rsid w:val="0B3C005F"/>
    <w:rsid w:val="0B3C21AB"/>
    <w:rsid w:val="0B5527AB"/>
    <w:rsid w:val="0B594D3B"/>
    <w:rsid w:val="0B65171B"/>
    <w:rsid w:val="0B6B272A"/>
    <w:rsid w:val="0B6C1381"/>
    <w:rsid w:val="0B6D1F77"/>
    <w:rsid w:val="0B723D3E"/>
    <w:rsid w:val="0B7957E9"/>
    <w:rsid w:val="0B7A50DB"/>
    <w:rsid w:val="0B7E624E"/>
    <w:rsid w:val="0B831B71"/>
    <w:rsid w:val="0B8A6A06"/>
    <w:rsid w:val="0B8B3A3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1F3C"/>
    <w:rsid w:val="0BDA3FDB"/>
    <w:rsid w:val="0BDE6226"/>
    <w:rsid w:val="0BE879AE"/>
    <w:rsid w:val="0BEC24ED"/>
    <w:rsid w:val="0BED5C90"/>
    <w:rsid w:val="0BF3611F"/>
    <w:rsid w:val="0C055D2C"/>
    <w:rsid w:val="0C1232A8"/>
    <w:rsid w:val="0C1B0491"/>
    <w:rsid w:val="0C1B4521"/>
    <w:rsid w:val="0C1E5D95"/>
    <w:rsid w:val="0C214DA4"/>
    <w:rsid w:val="0C2343CE"/>
    <w:rsid w:val="0C293F71"/>
    <w:rsid w:val="0C407935"/>
    <w:rsid w:val="0C426C85"/>
    <w:rsid w:val="0C432D86"/>
    <w:rsid w:val="0C4E63B2"/>
    <w:rsid w:val="0C4F69BD"/>
    <w:rsid w:val="0C512857"/>
    <w:rsid w:val="0C574E9F"/>
    <w:rsid w:val="0C5860FB"/>
    <w:rsid w:val="0C5937E9"/>
    <w:rsid w:val="0C594881"/>
    <w:rsid w:val="0C596C01"/>
    <w:rsid w:val="0C5E4639"/>
    <w:rsid w:val="0C6F7D6D"/>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51A4"/>
    <w:rsid w:val="0D6712AB"/>
    <w:rsid w:val="0D6924B4"/>
    <w:rsid w:val="0D6B7B3E"/>
    <w:rsid w:val="0D6D7CC3"/>
    <w:rsid w:val="0D7D5968"/>
    <w:rsid w:val="0D7E7590"/>
    <w:rsid w:val="0D8107A5"/>
    <w:rsid w:val="0D8952C8"/>
    <w:rsid w:val="0D8C7F56"/>
    <w:rsid w:val="0D902AA1"/>
    <w:rsid w:val="0D950038"/>
    <w:rsid w:val="0D9547D8"/>
    <w:rsid w:val="0DA21DB4"/>
    <w:rsid w:val="0DB14B01"/>
    <w:rsid w:val="0DB42335"/>
    <w:rsid w:val="0DC75B70"/>
    <w:rsid w:val="0DC93981"/>
    <w:rsid w:val="0DCC0BD1"/>
    <w:rsid w:val="0DD32B50"/>
    <w:rsid w:val="0DD339D9"/>
    <w:rsid w:val="0DD75970"/>
    <w:rsid w:val="0DDB1764"/>
    <w:rsid w:val="0DDF4F05"/>
    <w:rsid w:val="0DE00F77"/>
    <w:rsid w:val="0DE2265C"/>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355D1"/>
    <w:rsid w:val="0E594261"/>
    <w:rsid w:val="0E5B15B0"/>
    <w:rsid w:val="0E5C74E8"/>
    <w:rsid w:val="0E626314"/>
    <w:rsid w:val="0E70754B"/>
    <w:rsid w:val="0E753626"/>
    <w:rsid w:val="0E771E58"/>
    <w:rsid w:val="0E796DFA"/>
    <w:rsid w:val="0E7A52BE"/>
    <w:rsid w:val="0E7B1820"/>
    <w:rsid w:val="0E7B61FB"/>
    <w:rsid w:val="0E7F1C04"/>
    <w:rsid w:val="0E7F2502"/>
    <w:rsid w:val="0E841CEC"/>
    <w:rsid w:val="0E8D5F4A"/>
    <w:rsid w:val="0E961603"/>
    <w:rsid w:val="0E983633"/>
    <w:rsid w:val="0EA85C87"/>
    <w:rsid w:val="0EAA73B4"/>
    <w:rsid w:val="0EB0377A"/>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D4F00"/>
    <w:rsid w:val="0F0E287E"/>
    <w:rsid w:val="0F122314"/>
    <w:rsid w:val="0F157038"/>
    <w:rsid w:val="0F191690"/>
    <w:rsid w:val="0F2566D6"/>
    <w:rsid w:val="0F334F38"/>
    <w:rsid w:val="0F374D10"/>
    <w:rsid w:val="0F390E3D"/>
    <w:rsid w:val="0F3B729A"/>
    <w:rsid w:val="0F477871"/>
    <w:rsid w:val="0F477973"/>
    <w:rsid w:val="0F4B3454"/>
    <w:rsid w:val="0F521E2E"/>
    <w:rsid w:val="0F5313BA"/>
    <w:rsid w:val="0F5446B1"/>
    <w:rsid w:val="0F566F25"/>
    <w:rsid w:val="0F5801E9"/>
    <w:rsid w:val="0F5C4C71"/>
    <w:rsid w:val="0F5E7046"/>
    <w:rsid w:val="0F675A2D"/>
    <w:rsid w:val="0F8116C6"/>
    <w:rsid w:val="0F927670"/>
    <w:rsid w:val="0F95703F"/>
    <w:rsid w:val="0F977AA3"/>
    <w:rsid w:val="0F9D2A7E"/>
    <w:rsid w:val="0F9D727A"/>
    <w:rsid w:val="0FA54926"/>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972FC"/>
    <w:rsid w:val="0FEA2108"/>
    <w:rsid w:val="0FEC32E3"/>
    <w:rsid w:val="0FEE5F63"/>
    <w:rsid w:val="0FF14326"/>
    <w:rsid w:val="0FF53632"/>
    <w:rsid w:val="0FF61261"/>
    <w:rsid w:val="0FF7251B"/>
    <w:rsid w:val="0FF864B2"/>
    <w:rsid w:val="1002491E"/>
    <w:rsid w:val="100318D3"/>
    <w:rsid w:val="10074C2D"/>
    <w:rsid w:val="10080D3C"/>
    <w:rsid w:val="100C48AC"/>
    <w:rsid w:val="100D77C9"/>
    <w:rsid w:val="100F5ECF"/>
    <w:rsid w:val="10123E88"/>
    <w:rsid w:val="10171D38"/>
    <w:rsid w:val="10173B20"/>
    <w:rsid w:val="101B4B2B"/>
    <w:rsid w:val="101F001F"/>
    <w:rsid w:val="10205E6C"/>
    <w:rsid w:val="10214450"/>
    <w:rsid w:val="103F7BBC"/>
    <w:rsid w:val="1046747A"/>
    <w:rsid w:val="104B2F84"/>
    <w:rsid w:val="104F503B"/>
    <w:rsid w:val="106104D8"/>
    <w:rsid w:val="10614B4D"/>
    <w:rsid w:val="106807AB"/>
    <w:rsid w:val="10697106"/>
    <w:rsid w:val="106D07A5"/>
    <w:rsid w:val="1070251A"/>
    <w:rsid w:val="1079125F"/>
    <w:rsid w:val="10795FF0"/>
    <w:rsid w:val="107E7E13"/>
    <w:rsid w:val="108065DC"/>
    <w:rsid w:val="108D1F6F"/>
    <w:rsid w:val="108E556A"/>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21026D"/>
    <w:rsid w:val="11254494"/>
    <w:rsid w:val="11262D96"/>
    <w:rsid w:val="11347954"/>
    <w:rsid w:val="113B4AF5"/>
    <w:rsid w:val="113D45ED"/>
    <w:rsid w:val="113F68A0"/>
    <w:rsid w:val="11463C69"/>
    <w:rsid w:val="114B2327"/>
    <w:rsid w:val="11537076"/>
    <w:rsid w:val="115452C7"/>
    <w:rsid w:val="115470DC"/>
    <w:rsid w:val="115759CE"/>
    <w:rsid w:val="115808BE"/>
    <w:rsid w:val="115E5C78"/>
    <w:rsid w:val="1161026A"/>
    <w:rsid w:val="11621410"/>
    <w:rsid w:val="11686319"/>
    <w:rsid w:val="116A024B"/>
    <w:rsid w:val="116A3787"/>
    <w:rsid w:val="11720AC2"/>
    <w:rsid w:val="1172122A"/>
    <w:rsid w:val="117525C4"/>
    <w:rsid w:val="11767657"/>
    <w:rsid w:val="11781DFA"/>
    <w:rsid w:val="11807847"/>
    <w:rsid w:val="118457F6"/>
    <w:rsid w:val="118828CF"/>
    <w:rsid w:val="118B7CC4"/>
    <w:rsid w:val="118C46DA"/>
    <w:rsid w:val="11997C59"/>
    <w:rsid w:val="119C29A2"/>
    <w:rsid w:val="119D62CE"/>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C4B1E"/>
    <w:rsid w:val="12A13BDA"/>
    <w:rsid w:val="12A142E5"/>
    <w:rsid w:val="12A8272F"/>
    <w:rsid w:val="12AC6C59"/>
    <w:rsid w:val="12AE2A22"/>
    <w:rsid w:val="12B209E5"/>
    <w:rsid w:val="12B214B4"/>
    <w:rsid w:val="12B43E24"/>
    <w:rsid w:val="12C336A4"/>
    <w:rsid w:val="12C60939"/>
    <w:rsid w:val="12C70E6B"/>
    <w:rsid w:val="12DA12F7"/>
    <w:rsid w:val="12E0156B"/>
    <w:rsid w:val="12E53EB9"/>
    <w:rsid w:val="12F00E7B"/>
    <w:rsid w:val="12F85E8C"/>
    <w:rsid w:val="12F95EB4"/>
    <w:rsid w:val="12FA1A9D"/>
    <w:rsid w:val="13022B2F"/>
    <w:rsid w:val="13076BAF"/>
    <w:rsid w:val="130830A1"/>
    <w:rsid w:val="130A6AD2"/>
    <w:rsid w:val="130F03F0"/>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21EFE"/>
    <w:rsid w:val="13834E54"/>
    <w:rsid w:val="138C3BB4"/>
    <w:rsid w:val="138E21E8"/>
    <w:rsid w:val="13A46633"/>
    <w:rsid w:val="13A53E20"/>
    <w:rsid w:val="13A57CC6"/>
    <w:rsid w:val="13A64D44"/>
    <w:rsid w:val="13A71807"/>
    <w:rsid w:val="13AA36AA"/>
    <w:rsid w:val="13AA72DA"/>
    <w:rsid w:val="13AE4A5F"/>
    <w:rsid w:val="13B4098E"/>
    <w:rsid w:val="13B62320"/>
    <w:rsid w:val="13C63810"/>
    <w:rsid w:val="13C673D1"/>
    <w:rsid w:val="13D14F64"/>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822913"/>
    <w:rsid w:val="149C2E77"/>
    <w:rsid w:val="14A31F03"/>
    <w:rsid w:val="14A5629F"/>
    <w:rsid w:val="14AC1E4E"/>
    <w:rsid w:val="14AC398C"/>
    <w:rsid w:val="14B3042E"/>
    <w:rsid w:val="14C453B3"/>
    <w:rsid w:val="14CE5C48"/>
    <w:rsid w:val="14D141D7"/>
    <w:rsid w:val="14D5012B"/>
    <w:rsid w:val="14E47191"/>
    <w:rsid w:val="14E9786D"/>
    <w:rsid w:val="14EC3E5C"/>
    <w:rsid w:val="14ED0A8C"/>
    <w:rsid w:val="14F863D5"/>
    <w:rsid w:val="14FA4CD9"/>
    <w:rsid w:val="14FB5F43"/>
    <w:rsid w:val="15100FA6"/>
    <w:rsid w:val="1513479B"/>
    <w:rsid w:val="15163AB9"/>
    <w:rsid w:val="151A1661"/>
    <w:rsid w:val="15262908"/>
    <w:rsid w:val="1529226A"/>
    <w:rsid w:val="15387A07"/>
    <w:rsid w:val="1539647F"/>
    <w:rsid w:val="153D0A90"/>
    <w:rsid w:val="153D638E"/>
    <w:rsid w:val="154D3BE2"/>
    <w:rsid w:val="15500B81"/>
    <w:rsid w:val="15512718"/>
    <w:rsid w:val="155D4772"/>
    <w:rsid w:val="156103E7"/>
    <w:rsid w:val="15635D03"/>
    <w:rsid w:val="157723EB"/>
    <w:rsid w:val="157876E1"/>
    <w:rsid w:val="15792A24"/>
    <w:rsid w:val="1587641C"/>
    <w:rsid w:val="158A42AA"/>
    <w:rsid w:val="15903990"/>
    <w:rsid w:val="159A2718"/>
    <w:rsid w:val="159A616F"/>
    <w:rsid w:val="15A16B2A"/>
    <w:rsid w:val="15A36994"/>
    <w:rsid w:val="15A63099"/>
    <w:rsid w:val="15A83FDF"/>
    <w:rsid w:val="15AC1F1E"/>
    <w:rsid w:val="15AE067E"/>
    <w:rsid w:val="15B274DC"/>
    <w:rsid w:val="15B51F07"/>
    <w:rsid w:val="15B64890"/>
    <w:rsid w:val="15B7100A"/>
    <w:rsid w:val="15BA1EF1"/>
    <w:rsid w:val="15BB7F8A"/>
    <w:rsid w:val="15BE7996"/>
    <w:rsid w:val="15C532BF"/>
    <w:rsid w:val="15CB56F8"/>
    <w:rsid w:val="15D0130C"/>
    <w:rsid w:val="15D2523F"/>
    <w:rsid w:val="15D2564C"/>
    <w:rsid w:val="15D61E56"/>
    <w:rsid w:val="15DC216E"/>
    <w:rsid w:val="15DD4D2E"/>
    <w:rsid w:val="15E577C7"/>
    <w:rsid w:val="15EA10AD"/>
    <w:rsid w:val="15EB18DC"/>
    <w:rsid w:val="15F04781"/>
    <w:rsid w:val="15F80CE0"/>
    <w:rsid w:val="160856FA"/>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8409F"/>
    <w:rsid w:val="168B1464"/>
    <w:rsid w:val="168E0B29"/>
    <w:rsid w:val="16972BB3"/>
    <w:rsid w:val="1698607C"/>
    <w:rsid w:val="169A4305"/>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37193"/>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93127"/>
    <w:rsid w:val="173D1032"/>
    <w:rsid w:val="17423214"/>
    <w:rsid w:val="174903F6"/>
    <w:rsid w:val="174E5530"/>
    <w:rsid w:val="17512C20"/>
    <w:rsid w:val="175A558F"/>
    <w:rsid w:val="17644012"/>
    <w:rsid w:val="17645BD7"/>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C66F7"/>
    <w:rsid w:val="17AE6614"/>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97279"/>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22465"/>
    <w:rsid w:val="19087E5A"/>
    <w:rsid w:val="190A5AAB"/>
    <w:rsid w:val="190B365E"/>
    <w:rsid w:val="190B5982"/>
    <w:rsid w:val="190E24A2"/>
    <w:rsid w:val="190F246E"/>
    <w:rsid w:val="1910107B"/>
    <w:rsid w:val="1919445B"/>
    <w:rsid w:val="1929257A"/>
    <w:rsid w:val="19296C8F"/>
    <w:rsid w:val="192B582F"/>
    <w:rsid w:val="192F7BEE"/>
    <w:rsid w:val="193C5189"/>
    <w:rsid w:val="193F3607"/>
    <w:rsid w:val="193F51BD"/>
    <w:rsid w:val="1944727F"/>
    <w:rsid w:val="1948038A"/>
    <w:rsid w:val="194A66F4"/>
    <w:rsid w:val="194C08BA"/>
    <w:rsid w:val="19507206"/>
    <w:rsid w:val="19546D47"/>
    <w:rsid w:val="19561E54"/>
    <w:rsid w:val="19594AC8"/>
    <w:rsid w:val="19642537"/>
    <w:rsid w:val="19704940"/>
    <w:rsid w:val="19767155"/>
    <w:rsid w:val="19767890"/>
    <w:rsid w:val="197E00E2"/>
    <w:rsid w:val="197E4EC9"/>
    <w:rsid w:val="19801AD3"/>
    <w:rsid w:val="198438C8"/>
    <w:rsid w:val="19854BB3"/>
    <w:rsid w:val="198A317C"/>
    <w:rsid w:val="198A5B9B"/>
    <w:rsid w:val="198E504F"/>
    <w:rsid w:val="198E7CC2"/>
    <w:rsid w:val="19935571"/>
    <w:rsid w:val="199628D2"/>
    <w:rsid w:val="1997041E"/>
    <w:rsid w:val="19971F25"/>
    <w:rsid w:val="19977F1D"/>
    <w:rsid w:val="19A055FC"/>
    <w:rsid w:val="19A204F1"/>
    <w:rsid w:val="19A47FBE"/>
    <w:rsid w:val="19A9542D"/>
    <w:rsid w:val="19AF141B"/>
    <w:rsid w:val="19B45EC6"/>
    <w:rsid w:val="19BC434C"/>
    <w:rsid w:val="19C0635C"/>
    <w:rsid w:val="19C546C0"/>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78A1"/>
    <w:rsid w:val="1A552EA6"/>
    <w:rsid w:val="1A574E8B"/>
    <w:rsid w:val="1A5A027E"/>
    <w:rsid w:val="1A5B332D"/>
    <w:rsid w:val="1A5D418F"/>
    <w:rsid w:val="1A604FB0"/>
    <w:rsid w:val="1A667C29"/>
    <w:rsid w:val="1A68714A"/>
    <w:rsid w:val="1A74323E"/>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86E8A"/>
    <w:rsid w:val="1A991640"/>
    <w:rsid w:val="1AA14EDD"/>
    <w:rsid w:val="1AA20A13"/>
    <w:rsid w:val="1AA33EAF"/>
    <w:rsid w:val="1AA4489D"/>
    <w:rsid w:val="1AA964C5"/>
    <w:rsid w:val="1AAC5EBD"/>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42D9E"/>
    <w:rsid w:val="1B3A63E1"/>
    <w:rsid w:val="1B3B1E3D"/>
    <w:rsid w:val="1B3B44BF"/>
    <w:rsid w:val="1B3F232C"/>
    <w:rsid w:val="1B435219"/>
    <w:rsid w:val="1B452832"/>
    <w:rsid w:val="1B55429F"/>
    <w:rsid w:val="1B5C4B10"/>
    <w:rsid w:val="1B676B44"/>
    <w:rsid w:val="1B6B6632"/>
    <w:rsid w:val="1B6F4CAB"/>
    <w:rsid w:val="1B7D6CAD"/>
    <w:rsid w:val="1B806C82"/>
    <w:rsid w:val="1B8474D6"/>
    <w:rsid w:val="1B9009CE"/>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6379A"/>
    <w:rsid w:val="1BD77F25"/>
    <w:rsid w:val="1BD85300"/>
    <w:rsid w:val="1BD93FE1"/>
    <w:rsid w:val="1BE05A00"/>
    <w:rsid w:val="1BE60A89"/>
    <w:rsid w:val="1BED5DF9"/>
    <w:rsid w:val="1BF6094C"/>
    <w:rsid w:val="1BFC4EEB"/>
    <w:rsid w:val="1C055D2A"/>
    <w:rsid w:val="1C086588"/>
    <w:rsid w:val="1C097162"/>
    <w:rsid w:val="1C0A656E"/>
    <w:rsid w:val="1C114C4D"/>
    <w:rsid w:val="1C16147F"/>
    <w:rsid w:val="1C176961"/>
    <w:rsid w:val="1C1C6556"/>
    <w:rsid w:val="1C23366C"/>
    <w:rsid w:val="1C245463"/>
    <w:rsid w:val="1C2D02F8"/>
    <w:rsid w:val="1C3019B6"/>
    <w:rsid w:val="1C327EC7"/>
    <w:rsid w:val="1C376C5A"/>
    <w:rsid w:val="1C393748"/>
    <w:rsid w:val="1C3D1CE9"/>
    <w:rsid w:val="1C3F5739"/>
    <w:rsid w:val="1C41146D"/>
    <w:rsid w:val="1C4404B4"/>
    <w:rsid w:val="1C4863EB"/>
    <w:rsid w:val="1C4A151A"/>
    <w:rsid w:val="1C4A4C0A"/>
    <w:rsid w:val="1C51797A"/>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02F84"/>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156B58"/>
    <w:rsid w:val="1D2B0F93"/>
    <w:rsid w:val="1D315EEC"/>
    <w:rsid w:val="1D316B5C"/>
    <w:rsid w:val="1D320508"/>
    <w:rsid w:val="1D3914F2"/>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A5B91"/>
    <w:rsid w:val="1E2133C2"/>
    <w:rsid w:val="1E252837"/>
    <w:rsid w:val="1E291941"/>
    <w:rsid w:val="1E2B5964"/>
    <w:rsid w:val="1E2C1376"/>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9671A"/>
    <w:rsid w:val="1EBA66FA"/>
    <w:rsid w:val="1EBC68DA"/>
    <w:rsid w:val="1EBF4CD5"/>
    <w:rsid w:val="1EC063B9"/>
    <w:rsid w:val="1ECE1B03"/>
    <w:rsid w:val="1ECE723E"/>
    <w:rsid w:val="1ED55822"/>
    <w:rsid w:val="1EE82B1F"/>
    <w:rsid w:val="1EE83BBB"/>
    <w:rsid w:val="1EEA0B27"/>
    <w:rsid w:val="1EEC1AE0"/>
    <w:rsid w:val="1EEC3E9A"/>
    <w:rsid w:val="1EEE5F5C"/>
    <w:rsid w:val="1EF15EF6"/>
    <w:rsid w:val="1EF47C22"/>
    <w:rsid w:val="1EFB41E9"/>
    <w:rsid w:val="1F0271AF"/>
    <w:rsid w:val="1F072262"/>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5D4F6E"/>
    <w:rsid w:val="1F6037D1"/>
    <w:rsid w:val="1F61588F"/>
    <w:rsid w:val="1F637F5A"/>
    <w:rsid w:val="1F710118"/>
    <w:rsid w:val="1F764C52"/>
    <w:rsid w:val="1F792C3A"/>
    <w:rsid w:val="1F7C64ED"/>
    <w:rsid w:val="1F802382"/>
    <w:rsid w:val="1F8C04E7"/>
    <w:rsid w:val="1F9A7DD3"/>
    <w:rsid w:val="1FA35CF7"/>
    <w:rsid w:val="1FAA54F7"/>
    <w:rsid w:val="1FB04C74"/>
    <w:rsid w:val="1FB234B9"/>
    <w:rsid w:val="1FB966AC"/>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633817"/>
    <w:rsid w:val="207A7253"/>
    <w:rsid w:val="207D2005"/>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87136"/>
    <w:rsid w:val="20BB4E88"/>
    <w:rsid w:val="20BB5F07"/>
    <w:rsid w:val="20BD7447"/>
    <w:rsid w:val="20C03C60"/>
    <w:rsid w:val="20C215F3"/>
    <w:rsid w:val="20C43B9F"/>
    <w:rsid w:val="20C71E83"/>
    <w:rsid w:val="20C976CD"/>
    <w:rsid w:val="20CA278B"/>
    <w:rsid w:val="20CF43B0"/>
    <w:rsid w:val="20D50E20"/>
    <w:rsid w:val="20D64996"/>
    <w:rsid w:val="20D717F1"/>
    <w:rsid w:val="20DB4340"/>
    <w:rsid w:val="20E30CFA"/>
    <w:rsid w:val="20EF51C8"/>
    <w:rsid w:val="20F05924"/>
    <w:rsid w:val="20F13F32"/>
    <w:rsid w:val="20F453F7"/>
    <w:rsid w:val="20F54434"/>
    <w:rsid w:val="20F627FE"/>
    <w:rsid w:val="20F81429"/>
    <w:rsid w:val="20FC1C52"/>
    <w:rsid w:val="20FD6D18"/>
    <w:rsid w:val="20FE48A8"/>
    <w:rsid w:val="20FE4BBD"/>
    <w:rsid w:val="2103608A"/>
    <w:rsid w:val="210F68A1"/>
    <w:rsid w:val="21133C1E"/>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50C69"/>
    <w:rsid w:val="216C6B87"/>
    <w:rsid w:val="2175003E"/>
    <w:rsid w:val="217A71B3"/>
    <w:rsid w:val="217C1F99"/>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354ED"/>
    <w:rsid w:val="21E5678C"/>
    <w:rsid w:val="21E8009D"/>
    <w:rsid w:val="21EC66F9"/>
    <w:rsid w:val="21F27385"/>
    <w:rsid w:val="21F477AF"/>
    <w:rsid w:val="21F80754"/>
    <w:rsid w:val="21FD1F93"/>
    <w:rsid w:val="22122053"/>
    <w:rsid w:val="221500FE"/>
    <w:rsid w:val="22160E61"/>
    <w:rsid w:val="22170083"/>
    <w:rsid w:val="22191667"/>
    <w:rsid w:val="221E4044"/>
    <w:rsid w:val="222E4B36"/>
    <w:rsid w:val="222F05E6"/>
    <w:rsid w:val="22317A3E"/>
    <w:rsid w:val="22330CD8"/>
    <w:rsid w:val="22335E59"/>
    <w:rsid w:val="22447536"/>
    <w:rsid w:val="224744C4"/>
    <w:rsid w:val="224B0DB4"/>
    <w:rsid w:val="22550A45"/>
    <w:rsid w:val="22583396"/>
    <w:rsid w:val="225A3E70"/>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140A7"/>
    <w:rsid w:val="23136A91"/>
    <w:rsid w:val="2314181E"/>
    <w:rsid w:val="2317727F"/>
    <w:rsid w:val="232020A5"/>
    <w:rsid w:val="23247DA8"/>
    <w:rsid w:val="23263DF4"/>
    <w:rsid w:val="232A727C"/>
    <w:rsid w:val="23301166"/>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62749"/>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706349"/>
    <w:rsid w:val="24754CB4"/>
    <w:rsid w:val="24766F09"/>
    <w:rsid w:val="247A0B6D"/>
    <w:rsid w:val="247E026A"/>
    <w:rsid w:val="24821C44"/>
    <w:rsid w:val="24822A2F"/>
    <w:rsid w:val="248B587E"/>
    <w:rsid w:val="248D1D37"/>
    <w:rsid w:val="249149C6"/>
    <w:rsid w:val="24932C94"/>
    <w:rsid w:val="24965CCD"/>
    <w:rsid w:val="249800C5"/>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4E3FF5"/>
    <w:rsid w:val="25512471"/>
    <w:rsid w:val="255513D2"/>
    <w:rsid w:val="255A50C8"/>
    <w:rsid w:val="255B49B3"/>
    <w:rsid w:val="255C1932"/>
    <w:rsid w:val="255E294F"/>
    <w:rsid w:val="25692DFE"/>
    <w:rsid w:val="256C3D8F"/>
    <w:rsid w:val="256D6BF2"/>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D50"/>
    <w:rsid w:val="25D80360"/>
    <w:rsid w:val="25DA613E"/>
    <w:rsid w:val="25DE7808"/>
    <w:rsid w:val="25E10B12"/>
    <w:rsid w:val="25E6527D"/>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0371C"/>
    <w:rsid w:val="26916DB8"/>
    <w:rsid w:val="269837EF"/>
    <w:rsid w:val="269E794D"/>
    <w:rsid w:val="26A84125"/>
    <w:rsid w:val="26AF7EB1"/>
    <w:rsid w:val="26B11AEC"/>
    <w:rsid w:val="26B7502F"/>
    <w:rsid w:val="26B82CF0"/>
    <w:rsid w:val="26B8558F"/>
    <w:rsid w:val="26C03942"/>
    <w:rsid w:val="26CF27C0"/>
    <w:rsid w:val="26CF56E4"/>
    <w:rsid w:val="26D07CC0"/>
    <w:rsid w:val="26D27F3B"/>
    <w:rsid w:val="26E535DE"/>
    <w:rsid w:val="26F0116E"/>
    <w:rsid w:val="26F62BE0"/>
    <w:rsid w:val="27007DB1"/>
    <w:rsid w:val="27023FD8"/>
    <w:rsid w:val="270268FC"/>
    <w:rsid w:val="270A4A11"/>
    <w:rsid w:val="27115F5E"/>
    <w:rsid w:val="27131A32"/>
    <w:rsid w:val="271438F4"/>
    <w:rsid w:val="271441C6"/>
    <w:rsid w:val="27181BBE"/>
    <w:rsid w:val="272201E2"/>
    <w:rsid w:val="27222347"/>
    <w:rsid w:val="27261FD2"/>
    <w:rsid w:val="272E2378"/>
    <w:rsid w:val="27321F5C"/>
    <w:rsid w:val="273C76EB"/>
    <w:rsid w:val="273E15AB"/>
    <w:rsid w:val="274159F7"/>
    <w:rsid w:val="27492EA8"/>
    <w:rsid w:val="274B09CE"/>
    <w:rsid w:val="27523FF3"/>
    <w:rsid w:val="275269EE"/>
    <w:rsid w:val="2755572E"/>
    <w:rsid w:val="276010D4"/>
    <w:rsid w:val="27614F78"/>
    <w:rsid w:val="27653B8D"/>
    <w:rsid w:val="27694F62"/>
    <w:rsid w:val="276B0663"/>
    <w:rsid w:val="276B607D"/>
    <w:rsid w:val="276C47FF"/>
    <w:rsid w:val="2773738D"/>
    <w:rsid w:val="277973C8"/>
    <w:rsid w:val="27880564"/>
    <w:rsid w:val="278C4BFF"/>
    <w:rsid w:val="278E5245"/>
    <w:rsid w:val="279025EE"/>
    <w:rsid w:val="27924A6D"/>
    <w:rsid w:val="27992850"/>
    <w:rsid w:val="27A44BB8"/>
    <w:rsid w:val="27AA4362"/>
    <w:rsid w:val="27AF12EF"/>
    <w:rsid w:val="27AF29BE"/>
    <w:rsid w:val="27B47525"/>
    <w:rsid w:val="27BF67BA"/>
    <w:rsid w:val="27C04AAA"/>
    <w:rsid w:val="27C07D92"/>
    <w:rsid w:val="27C334FA"/>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3C224C"/>
    <w:rsid w:val="28410CFF"/>
    <w:rsid w:val="284A66D7"/>
    <w:rsid w:val="284D26F7"/>
    <w:rsid w:val="284D37AD"/>
    <w:rsid w:val="284F05FD"/>
    <w:rsid w:val="28532EFE"/>
    <w:rsid w:val="28590308"/>
    <w:rsid w:val="285D6C2F"/>
    <w:rsid w:val="28607CE1"/>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C55B3"/>
    <w:rsid w:val="28BF59E6"/>
    <w:rsid w:val="28C14F11"/>
    <w:rsid w:val="28CE5AB8"/>
    <w:rsid w:val="28CF0263"/>
    <w:rsid w:val="28D773A2"/>
    <w:rsid w:val="28E069B4"/>
    <w:rsid w:val="28E17E2C"/>
    <w:rsid w:val="28E44161"/>
    <w:rsid w:val="28E474F2"/>
    <w:rsid w:val="28F15C5D"/>
    <w:rsid w:val="28FA1728"/>
    <w:rsid w:val="28FB61AA"/>
    <w:rsid w:val="28FD0175"/>
    <w:rsid w:val="290301B6"/>
    <w:rsid w:val="29046B1A"/>
    <w:rsid w:val="29070F98"/>
    <w:rsid w:val="290E7E3D"/>
    <w:rsid w:val="290F5FD5"/>
    <w:rsid w:val="2911001D"/>
    <w:rsid w:val="291671BE"/>
    <w:rsid w:val="291E162B"/>
    <w:rsid w:val="291F06CA"/>
    <w:rsid w:val="29257E18"/>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72F7E"/>
    <w:rsid w:val="2972757D"/>
    <w:rsid w:val="2978500B"/>
    <w:rsid w:val="29793538"/>
    <w:rsid w:val="2979571D"/>
    <w:rsid w:val="297A488F"/>
    <w:rsid w:val="297E42BA"/>
    <w:rsid w:val="298201B8"/>
    <w:rsid w:val="29920128"/>
    <w:rsid w:val="299B07C3"/>
    <w:rsid w:val="299B6E36"/>
    <w:rsid w:val="29A57939"/>
    <w:rsid w:val="29A646F0"/>
    <w:rsid w:val="29AB1C0C"/>
    <w:rsid w:val="29AB7532"/>
    <w:rsid w:val="29AC5E75"/>
    <w:rsid w:val="29AC64D3"/>
    <w:rsid w:val="29B508BB"/>
    <w:rsid w:val="29B772EE"/>
    <w:rsid w:val="29B92091"/>
    <w:rsid w:val="29BC3896"/>
    <w:rsid w:val="29BD4006"/>
    <w:rsid w:val="29CA48E3"/>
    <w:rsid w:val="29D905A6"/>
    <w:rsid w:val="29E705C4"/>
    <w:rsid w:val="29EB5B61"/>
    <w:rsid w:val="29EF69C0"/>
    <w:rsid w:val="29F143B2"/>
    <w:rsid w:val="29F15ECD"/>
    <w:rsid w:val="29F50529"/>
    <w:rsid w:val="29F6357B"/>
    <w:rsid w:val="29F64D54"/>
    <w:rsid w:val="2A0011E1"/>
    <w:rsid w:val="2A027DC4"/>
    <w:rsid w:val="2A0A08C1"/>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85F0C"/>
    <w:rsid w:val="2A792BFF"/>
    <w:rsid w:val="2A8050E9"/>
    <w:rsid w:val="2A805538"/>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A66D7"/>
    <w:rsid w:val="2BED6E21"/>
    <w:rsid w:val="2BEF1332"/>
    <w:rsid w:val="2BF37482"/>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F086A"/>
    <w:rsid w:val="2D064B26"/>
    <w:rsid w:val="2D086932"/>
    <w:rsid w:val="2D104632"/>
    <w:rsid w:val="2D3072FE"/>
    <w:rsid w:val="2D31028B"/>
    <w:rsid w:val="2D356F9E"/>
    <w:rsid w:val="2D4151E1"/>
    <w:rsid w:val="2D416432"/>
    <w:rsid w:val="2D420181"/>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9D0E1B"/>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5024D8"/>
    <w:rsid w:val="2E522352"/>
    <w:rsid w:val="2E55304D"/>
    <w:rsid w:val="2E5F3B5E"/>
    <w:rsid w:val="2E602D70"/>
    <w:rsid w:val="2E643BF9"/>
    <w:rsid w:val="2E680509"/>
    <w:rsid w:val="2E89270D"/>
    <w:rsid w:val="2E8A68CC"/>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85092"/>
    <w:rsid w:val="2F2A538F"/>
    <w:rsid w:val="2F2C5D09"/>
    <w:rsid w:val="2F3D200F"/>
    <w:rsid w:val="2F3E3C94"/>
    <w:rsid w:val="2F402D6C"/>
    <w:rsid w:val="2F423C6B"/>
    <w:rsid w:val="2F4457D7"/>
    <w:rsid w:val="2F456FE2"/>
    <w:rsid w:val="2F4575D0"/>
    <w:rsid w:val="2F463C9F"/>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D73D5F"/>
    <w:rsid w:val="2FD86D45"/>
    <w:rsid w:val="2FDF68B6"/>
    <w:rsid w:val="2FE424EB"/>
    <w:rsid w:val="2FE465CC"/>
    <w:rsid w:val="2FED56B0"/>
    <w:rsid w:val="2FF657DC"/>
    <w:rsid w:val="2FFA4EB6"/>
    <w:rsid w:val="300E5103"/>
    <w:rsid w:val="30132A83"/>
    <w:rsid w:val="30243ECE"/>
    <w:rsid w:val="302E2308"/>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61214"/>
    <w:rsid w:val="30D914CE"/>
    <w:rsid w:val="30DD5BC9"/>
    <w:rsid w:val="30E31EEB"/>
    <w:rsid w:val="30E64CA0"/>
    <w:rsid w:val="30ED7025"/>
    <w:rsid w:val="30EE6C60"/>
    <w:rsid w:val="30F653E9"/>
    <w:rsid w:val="31081AAA"/>
    <w:rsid w:val="310C4D9C"/>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41D1E"/>
    <w:rsid w:val="31750FCD"/>
    <w:rsid w:val="3179366A"/>
    <w:rsid w:val="317A104A"/>
    <w:rsid w:val="317B7A41"/>
    <w:rsid w:val="317F3FBE"/>
    <w:rsid w:val="31825FC2"/>
    <w:rsid w:val="31854832"/>
    <w:rsid w:val="31884274"/>
    <w:rsid w:val="318949FD"/>
    <w:rsid w:val="318B0F4D"/>
    <w:rsid w:val="318E5084"/>
    <w:rsid w:val="318E6312"/>
    <w:rsid w:val="31913100"/>
    <w:rsid w:val="319B2E7D"/>
    <w:rsid w:val="31A40D7A"/>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44F27"/>
    <w:rsid w:val="320B5911"/>
    <w:rsid w:val="3217684D"/>
    <w:rsid w:val="3219669D"/>
    <w:rsid w:val="321C63D7"/>
    <w:rsid w:val="321F3F88"/>
    <w:rsid w:val="3221279F"/>
    <w:rsid w:val="32247BF9"/>
    <w:rsid w:val="32255778"/>
    <w:rsid w:val="32312593"/>
    <w:rsid w:val="323159FD"/>
    <w:rsid w:val="32345AB7"/>
    <w:rsid w:val="323716E7"/>
    <w:rsid w:val="323A4444"/>
    <w:rsid w:val="323E67E3"/>
    <w:rsid w:val="324252A3"/>
    <w:rsid w:val="32484AB1"/>
    <w:rsid w:val="324A0310"/>
    <w:rsid w:val="324F7E77"/>
    <w:rsid w:val="32524AFD"/>
    <w:rsid w:val="32530870"/>
    <w:rsid w:val="325900F4"/>
    <w:rsid w:val="325A0237"/>
    <w:rsid w:val="325A2A41"/>
    <w:rsid w:val="325C155E"/>
    <w:rsid w:val="325E2BBD"/>
    <w:rsid w:val="325F6322"/>
    <w:rsid w:val="32603716"/>
    <w:rsid w:val="32667CE0"/>
    <w:rsid w:val="326B5802"/>
    <w:rsid w:val="326C6CF3"/>
    <w:rsid w:val="32732916"/>
    <w:rsid w:val="3279408A"/>
    <w:rsid w:val="327C3D6F"/>
    <w:rsid w:val="327E4D99"/>
    <w:rsid w:val="328D3719"/>
    <w:rsid w:val="32A67B6D"/>
    <w:rsid w:val="32A67BA6"/>
    <w:rsid w:val="32AF69B0"/>
    <w:rsid w:val="32B21E52"/>
    <w:rsid w:val="32B30DFB"/>
    <w:rsid w:val="32BA0F20"/>
    <w:rsid w:val="32BB58A2"/>
    <w:rsid w:val="32C018D2"/>
    <w:rsid w:val="32C81855"/>
    <w:rsid w:val="32CA675E"/>
    <w:rsid w:val="32CF3BEC"/>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843738"/>
    <w:rsid w:val="33975AE0"/>
    <w:rsid w:val="339A4201"/>
    <w:rsid w:val="33AA3EDC"/>
    <w:rsid w:val="33B3256A"/>
    <w:rsid w:val="33B94573"/>
    <w:rsid w:val="33BC1F56"/>
    <w:rsid w:val="33C748AE"/>
    <w:rsid w:val="33C75909"/>
    <w:rsid w:val="33CE2B98"/>
    <w:rsid w:val="33D62E30"/>
    <w:rsid w:val="33DA7799"/>
    <w:rsid w:val="33DB47C4"/>
    <w:rsid w:val="33DF593B"/>
    <w:rsid w:val="33E64517"/>
    <w:rsid w:val="33E70260"/>
    <w:rsid w:val="33EB5F44"/>
    <w:rsid w:val="33EF0378"/>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0A7D"/>
    <w:rsid w:val="3430138D"/>
    <w:rsid w:val="34333BE0"/>
    <w:rsid w:val="34347AC3"/>
    <w:rsid w:val="343A0C0F"/>
    <w:rsid w:val="343F6B81"/>
    <w:rsid w:val="344A01A6"/>
    <w:rsid w:val="344E7394"/>
    <w:rsid w:val="345755A8"/>
    <w:rsid w:val="345A0537"/>
    <w:rsid w:val="345B4E2C"/>
    <w:rsid w:val="345D758F"/>
    <w:rsid w:val="34607FB2"/>
    <w:rsid w:val="34615829"/>
    <w:rsid w:val="3462226C"/>
    <w:rsid w:val="346A1BB2"/>
    <w:rsid w:val="346E738B"/>
    <w:rsid w:val="34782AC5"/>
    <w:rsid w:val="34785CD4"/>
    <w:rsid w:val="347875C9"/>
    <w:rsid w:val="347B0E37"/>
    <w:rsid w:val="347D1349"/>
    <w:rsid w:val="347F046C"/>
    <w:rsid w:val="34834A93"/>
    <w:rsid w:val="34874A0D"/>
    <w:rsid w:val="348A7E6B"/>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04FB8"/>
    <w:rsid w:val="35017F79"/>
    <w:rsid w:val="35041BFF"/>
    <w:rsid w:val="351E7FCA"/>
    <w:rsid w:val="351F04F0"/>
    <w:rsid w:val="351F2311"/>
    <w:rsid w:val="351F7E03"/>
    <w:rsid w:val="35206711"/>
    <w:rsid w:val="352612FC"/>
    <w:rsid w:val="352D1F24"/>
    <w:rsid w:val="352D7415"/>
    <w:rsid w:val="3531792A"/>
    <w:rsid w:val="3539398A"/>
    <w:rsid w:val="35450042"/>
    <w:rsid w:val="354F0611"/>
    <w:rsid w:val="3552267E"/>
    <w:rsid w:val="35580193"/>
    <w:rsid w:val="355A5E02"/>
    <w:rsid w:val="356276AD"/>
    <w:rsid w:val="35675BE6"/>
    <w:rsid w:val="356B5ADC"/>
    <w:rsid w:val="357706DE"/>
    <w:rsid w:val="35856351"/>
    <w:rsid w:val="358D4F45"/>
    <w:rsid w:val="35940857"/>
    <w:rsid w:val="35955E66"/>
    <w:rsid w:val="3595612F"/>
    <w:rsid w:val="359D552A"/>
    <w:rsid w:val="35A444A3"/>
    <w:rsid w:val="35AD47D7"/>
    <w:rsid w:val="35B2395E"/>
    <w:rsid w:val="35B500E7"/>
    <w:rsid w:val="35B77945"/>
    <w:rsid w:val="35BA5897"/>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0C4731"/>
    <w:rsid w:val="361203A7"/>
    <w:rsid w:val="3614405A"/>
    <w:rsid w:val="3615173C"/>
    <w:rsid w:val="3619343A"/>
    <w:rsid w:val="361C631E"/>
    <w:rsid w:val="361E5F79"/>
    <w:rsid w:val="361F0B5A"/>
    <w:rsid w:val="36255FE7"/>
    <w:rsid w:val="362F44EC"/>
    <w:rsid w:val="363139D2"/>
    <w:rsid w:val="36380784"/>
    <w:rsid w:val="363A6D22"/>
    <w:rsid w:val="36453E73"/>
    <w:rsid w:val="365C692E"/>
    <w:rsid w:val="3664672E"/>
    <w:rsid w:val="36684B85"/>
    <w:rsid w:val="36694323"/>
    <w:rsid w:val="367A12DB"/>
    <w:rsid w:val="36847D86"/>
    <w:rsid w:val="36871919"/>
    <w:rsid w:val="368D0336"/>
    <w:rsid w:val="369202E4"/>
    <w:rsid w:val="36993AD8"/>
    <w:rsid w:val="369C1413"/>
    <w:rsid w:val="369E16D7"/>
    <w:rsid w:val="36A03498"/>
    <w:rsid w:val="36B969ED"/>
    <w:rsid w:val="36BE11DF"/>
    <w:rsid w:val="36BF09FB"/>
    <w:rsid w:val="36C276D2"/>
    <w:rsid w:val="36C35683"/>
    <w:rsid w:val="36D53B5B"/>
    <w:rsid w:val="36D849D2"/>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076E5"/>
    <w:rsid w:val="37287D74"/>
    <w:rsid w:val="372A6F83"/>
    <w:rsid w:val="372F0142"/>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C7974"/>
    <w:rsid w:val="377F29FA"/>
    <w:rsid w:val="378A2E48"/>
    <w:rsid w:val="378D4721"/>
    <w:rsid w:val="37916CEE"/>
    <w:rsid w:val="3793144B"/>
    <w:rsid w:val="37981B12"/>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93E1B"/>
    <w:rsid w:val="37DA01D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EB6B3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506734"/>
    <w:rsid w:val="39592BCF"/>
    <w:rsid w:val="395A6D19"/>
    <w:rsid w:val="395D0E21"/>
    <w:rsid w:val="39623B52"/>
    <w:rsid w:val="397061BB"/>
    <w:rsid w:val="397319FF"/>
    <w:rsid w:val="39731B12"/>
    <w:rsid w:val="39765E70"/>
    <w:rsid w:val="39774BBD"/>
    <w:rsid w:val="39847EB1"/>
    <w:rsid w:val="398704BB"/>
    <w:rsid w:val="39882427"/>
    <w:rsid w:val="39926717"/>
    <w:rsid w:val="39970953"/>
    <w:rsid w:val="399E1C0B"/>
    <w:rsid w:val="39A21811"/>
    <w:rsid w:val="39A4022E"/>
    <w:rsid w:val="39AC2500"/>
    <w:rsid w:val="39AD28D5"/>
    <w:rsid w:val="39B261DB"/>
    <w:rsid w:val="39B73027"/>
    <w:rsid w:val="39B857F7"/>
    <w:rsid w:val="39B90E5E"/>
    <w:rsid w:val="39BB3A94"/>
    <w:rsid w:val="39C1671E"/>
    <w:rsid w:val="39C7184A"/>
    <w:rsid w:val="39CB526D"/>
    <w:rsid w:val="39D546A7"/>
    <w:rsid w:val="39DA48F6"/>
    <w:rsid w:val="39DA79CB"/>
    <w:rsid w:val="39DB38B4"/>
    <w:rsid w:val="39E069D4"/>
    <w:rsid w:val="39E258C7"/>
    <w:rsid w:val="39F070CC"/>
    <w:rsid w:val="39F12591"/>
    <w:rsid w:val="39FA1CF1"/>
    <w:rsid w:val="3A001D3B"/>
    <w:rsid w:val="3A016BF0"/>
    <w:rsid w:val="3A0A4EEB"/>
    <w:rsid w:val="3A0C1916"/>
    <w:rsid w:val="3A191E0E"/>
    <w:rsid w:val="3A1C597D"/>
    <w:rsid w:val="3A1C71BF"/>
    <w:rsid w:val="3A2C3BA6"/>
    <w:rsid w:val="3A2E3AF5"/>
    <w:rsid w:val="3A3539DC"/>
    <w:rsid w:val="3A3D4D53"/>
    <w:rsid w:val="3A4C45A1"/>
    <w:rsid w:val="3A4F0430"/>
    <w:rsid w:val="3A544F6C"/>
    <w:rsid w:val="3A577ADC"/>
    <w:rsid w:val="3A5914F9"/>
    <w:rsid w:val="3A5F3F5A"/>
    <w:rsid w:val="3A6D66ED"/>
    <w:rsid w:val="3A7116FC"/>
    <w:rsid w:val="3A736A4A"/>
    <w:rsid w:val="3A76541F"/>
    <w:rsid w:val="3A7D75EF"/>
    <w:rsid w:val="3A881F93"/>
    <w:rsid w:val="3A8B176E"/>
    <w:rsid w:val="3A8D11CC"/>
    <w:rsid w:val="3A8D2D28"/>
    <w:rsid w:val="3A9A07D3"/>
    <w:rsid w:val="3A9C50AA"/>
    <w:rsid w:val="3AA312D0"/>
    <w:rsid w:val="3AAF36AE"/>
    <w:rsid w:val="3AB06715"/>
    <w:rsid w:val="3ABD355C"/>
    <w:rsid w:val="3AC351F1"/>
    <w:rsid w:val="3AC91008"/>
    <w:rsid w:val="3ACB36E9"/>
    <w:rsid w:val="3ACB7871"/>
    <w:rsid w:val="3ACE6056"/>
    <w:rsid w:val="3AD028B4"/>
    <w:rsid w:val="3AD34546"/>
    <w:rsid w:val="3AD847A7"/>
    <w:rsid w:val="3ADA3867"/>
    <w:rsid w:val="3AE15E3F"/>
    <w:rsid w:val="3AEC72C2"/>
    <w:rsid w:val="3AEF76B1"/>
    <w:rsid w:val="3AF27012"/>
    <w:rsid w:val="3AFB55B9"/>
    <w:rsid w:val="3B0114CC"/>
    <w:rsid w:val="3B0476DE"/>
    <w:rsid w:val="3B050C15"/>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643A5"/>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218D8"/>
    <w:rsid w:val="3C4A36CF"/>
    <w:rsid w:val="3C4D7FC6"/>
    <w:rsid w:val="3C55687F"/>
    <w:rsid w:val="3C5A0649"/>
    <w:rsid w:val="3C6A6E3E"/>
    <w:rsid w:val="3C6B4CE4"/>
    <w:rsid w:val="3C6C1257"/>
    <w:rsid w:val="3C6D4F86"/>
    <w:rsid w:val="3C6E4611"/>
    <w:rsid w:val="3C6F5C49"/>
    <w:rsid w:val="3C70236E"/>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D81277"/>
    <w:rsid w:val="3CD927D3"/>
    <w:rsid w:val="3CDC73D2"/>
    <w:rsid w:val="3CE03540"/>
    <w:rsid w:val="3CE35325"/>
    <w:rsid w:val="3CE47BC5"/>
    <w:rsid w:val="3CF012B5"/>
    <w:rsid w:val="3CF10224"/>
    <w:rsid w:val="3CF80D73"/>
    <w:rsid w:val="3D03717F"/>
    <w:rsid w:val="3D05649D"/>
    <w:rsid w:val="3D0E2650"/>
    <w:rsid w:val="3D0E7B96"/>
    <w:rsid w:val="3D2558DA"/>
    <w:rsid w:val="3D2E57FB"/>
    <w:rsid w:val="3D311766"/>
    <w:rsid w:val="3D31514E"/>
    <w:rsid w:val="3D3201E6"/>
    <w:rsid w:val="3D344D4E"/>
    <w:rsid w:val="3D433BE3"/>
    <w:rsid w:val="3D4410E3"/>
    <w:rsid w:val="3D4F1820"/>
    <w:rsid w:val="3D505E2B"/>
    <w:rsid w:val="3D54620E"/>
    <w:rsid w:val="3D5D13B1"/>
    <w:rsid w:val="3D6C2810"/>
    <w:rsid w:val="3D6E7928"/>
    <w:rsid w:val="3D744E32"/>
    <w:rsid w:val="3D7845E4"/>
    <w:rsid w:val="3D7A0B27"/>
    <w:rsid w:val="3D7D024E"/>
    <w:rsid w:val="3D806AC3"/>
    <w:rsid w:val="3D8438BD"/>
    <w:rsid w:val="3D8B02DF"/>
    <w:rsid w:val="3D8E2A07"/>
    <w:rsid w:val="3D9E5E72"/>
    <w:rsid w:val="3DA009B3"/>
    <w:rsid w:val="3DA009CC"/>
    <w:rsid w:val="3DA13551"/>
    <w:rsid w:val="3DA3195E"/>
    <w:rsid w:val="3DA54FB2"/>
    <w:rsid w:val="3DA5644E"/>
    <w:rsid w:val="3DAE375E"/>
    <w:rsid w:val="3DB6531E"/>
    <w:rsid w:val="3DB72CDE"/>
    <w:rsid w:val="3DB9249A"/>
    <w:rsid w:val="3DBC3CE2"/>
    <w:rsid w:val="3DBC5E31"/>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A6459"/>
    <w:rsid w:val="3DFC1272"/>
    <w:rsid w:val="3E0328BF"/>
    <w:rsid w:val="3E0F1CFB"/>
    <w:rsid w:val="3E111D45"/>
    <w:rsid w:val="3E1565B5"/>
    <w:rsid w:val="3E1B0CF6"/>
    <w:rsid w:val="3E1B763A"/>
    <w:rsid w:val="3E1D490C"/>
    <w:rsid w:val="3E1F67AC"/>
    <w:rsid w:val="3E294142"/>
    <w:rsid w:val="3E304585"/>
    <w:rsid w:val="3E343E9B"/>
    <w:rsid w:val="3E374163"/>
    <w:rsid w:val="3E3D4614"/>
    <w:rsid w:val="3E427B9B"/>
    <w:rsid w:val="3E481465"/>
    <w:rsid w:val="3E4E6604"/>
    <w:rsid w:val="3E4E6CDE"/>
    <w:rsid w:val="3E4F6FC8"/>
    <w:rsid w:val="3E513A70"/>
    <w:rsid w:val="3E535F39"/>
    <w:rsid w:val="3E561CA0"/>
    <w:rsid w:val="3E56265A"/>
    <w:rsid w:val="3E5F25B3"/>
    <w:rsid w:val="3E623A41"/>
    <w:rsid w:val="3E633790"/>
    <w:rsid w:val="3E6D39BE"/>
    <w:rsid w:val="3E727522"/>
    <w:rsid w:val="3E7538EE"/>
    <w:rsid w:val="3E850395"/>
    <w:rsid w:val="3E873689"/>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3243D"/>
    <w:rsid w:val="3ED8339A"/>
    <w:rsid w:val="3EE458A4"/>
    <w:rsid w:val="3EF076C8"/>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A5507"/>
    <w:rsid w:val="3F2C65EA"/>
    <w:rsid w:val="3F3B6E0A"/>
    <w:rsid w:val="3F3F1578"/>
    <w:rsid w:val="3F484DDE"/>
    <w:rsid w:val="3F495688"/>
    <w:rsid w:val="3F505F3F"/>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CF6640"/>
    <w:rsid w:val="3FD801CC"/>
    <w:rsid w:val="3FDF3057"/>
    <w:rsid w:val="3FF3291D"/>
    <w:rsid w:val="3FF45D31"/>
    <w:rsid w:val="3FFB7550"/>
    <w:rsid w:val="3FFF6A7C"/>
    <w:rsid w:val="40040E62"/>
    <w:rsid w:val="4014244F"/>
    <w:rsid w:val="40170020"/>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600D15"/>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75767"/>
    <w:rsid w:val="40E8328F"/>
    <w:rsid w:val="40E94E3D"/>
    <w:rsid w:val="40F31A37"/>
    <w:rsid w:val="410419ED"/>
    <w:rsid w:val="410727A8"/>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763955"/>
    <w:rsid w:val="417769F6"/>
    <w:rsid w:val="417C4C96"/>
    <w:rsid w:val="41803DA8"/>
    <w:rsid w:val="41820824"/>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A376E"/>
    <w:rsid w:val="41FE6CB2"/>
    <w:rsid w:val="420556C8"/>
    <w:rsid w:val="421251CC"/>
    <w:rsid w:val="4214720F"/>
    <w:rsid w:val="4217488D"/>
    <w:rsid w:val="421D7B36"/>
    <w:rsid w:val="422345EF"/>
    <w:rsid w:val="42240668"/>
    <w:rsid w:val="4226137B"/>
    <w:rsid w:val="422A1E24"/>
    <w:rsid w:val="422A2BDA"/>
    <w:rsid w:val="422A6940"/>
    <w:rsid w:val="422E486B"/>
    <w:rsid w:val="423400A6"/>
    <w:rsid w:val="424763C8"/>
    <w:rsid w:val="424C78FC"/>
    <w:rsid w:val="42582F93"/>
    <w:rsid w:val="425A4600"/>
    <w:rsid w:val="4265286C"/>
    <w:rsid w:val="42690B24"/>
    <w:rsid w:val="427378E6"/>
    <w:rsid w:val="427C184E"/>
    <w:rsid w:val="427C225E"/>
    <w:rsid w:val="42890C2F"/>
    <w:rsid w:val="428B14DB"/>
    <w:rsid w:val="42924E8D"/>
    <w:rsid w:val="42982BA6"/>
    <w:rsid w:val="429F313B"/>
    <w:rsid w:val="429F6653"/>
    <w:rsid w:val="42AC06F3"/>
    <w:rsid w:val="42B302EA"/>
    <w:rsid w:val="42B61338"/>
    <w:rsid w:val="42B90AAB"/>
    <w:rsid w:val="42C5009E"/>
    <w:rsid w:val="42C92A69"/>
    <w:rsid w:val="42C96A82"/>
    <w:rsid w:val="42CF6EF1"/>
    <w:rsid w:val="42D604C8"/>
    <w:rsid w:val="42D72C00"/>
    <w:rsid w:val="42DF35C8"/>
    <w:rsid w:val="42E518DC"/>
    <w:rsid w:val="42E85051"/>
    <w:rsid w:val="42E9081C"/>
    <w:rsid w:val="42E91349"/>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BC172D"/>
    <w:rsid w:val="43C05A98"/>
    <w:rsid w:val="43C211B7"/>
    <w:rsid w:val="43C71A27"/>
    <w:rsid w:val="43C86C83"/>
    <w:rsid w:val="43C87BDE"/>
    <w:rsid w:val="43C95ED6"/>
    <w:rsid w:val="43D34204"/>
    <w:rsid w:val="43DC6ACC"/>
    <w:rsid w:val="43DD04DA"/>
    <w:rsid w:val="43E232E1"/>
    <w:rsid w:val="43E567A6"/>
    <w:rsid w:val="43F84F4E"/>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C5290"/>
    <w:rsid w:val="44465D22"/>
    <w:rsid w:val="44574B2B"/>
    <w:rsid w:val="445B2BD5"/>
    <w:rsid w:val="445F6864"/>
    <w:rsid w:val="44614A39"/>
    <w:rsid w:val="44660907"/>
    <w:rsid w:val="44677256"/>
    <w:rsid w:val="446E36E4"/>
    <w:rsid w:val="446F48BE"/>
    <w:rsid w:val="44730D26"/>
    <w:rsid w:val="44762A9C"/>
    <w:rsid w:val="44792B7D"/>
    <w:rsid w:val="44811DFB"/>
    <w:rsid w:val="448E6167"/>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2378EF"/>
    <w:rsid w:val="4524750B"/>
    <w:rsid w:val="45286865"/>
    <w:rsid w:val="452B4AF6"/>
    <w:rsid w:val="452B5E55"/>
    <w:rsid w:val="452F2E18"/>
    <w:rsid w:val="4532333B"/>
    <w:rsid w:val="45327B09"/>
    <w:rsid w:val="45380A36"/>
    <w:rsid w:val="4541568B"/>
    <w:rsid w:val="454F23C2"/>
    <w:rsid w:val="45500C3F"/>
    <w:rsid w:val="455A0801"/>
    <w:rsid w:val="455E51F5"/>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3504B"/>
    <w:rsid w:val="475A014C"/>
    <w:rsid w:val="475B61F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1432B"/>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71D7B"/>
    <w:rsid w:val="49885C59"/>
    <w:rsid w:val="498A257F"/>
    <w:rsid w:val="4995687C"/>
    <w:rsid w:val="4998544E"/>
    <w:rsid w:val="499D4802"/>
    <w:rsid w:val="49A45FDD"/>
    <w:rsid w:val="49A61B96"/>
    <w:rsid w:val="49B20B48"/>
    <w:rsid w:val="49B55D27"/>
    <w:rsid w:val="49B83EAA"/>
    <w:rsid w:val="49C03EDD"/>
    <w:rsid w:val="49C060D9"/>
    <w:rsid w:val="49C67DAB"/>
    <w:rsid w:val="49C7764E"/>
    <w:rsid w:val="49D83A18"/>
    <w:rsid w:val="49D8668C"/>
    <w:rsid w:val="49DB3A45"/>
    <w:rsid w:val="49E73C0B"/>
    <w:rsid w:val="49E92B16"/>
    <w:rsid w:val="49EC1B26"/>
    <w:rsid w:val="49FC7FA2"/>
    <w:rsid w:val="4A017C98"/>
    <w:rsid w:val="4A042139"/>
    <w:rsid w:val="4A080E5C"/>
    <w:rsid w:val="4A0C44E3"/>
    <w:rsid w:val="4A1C1EE0"/>
    <w:rsid w:val="4A1D0A93"/>
    <w:rsid w:val="4A210B7E"/>
    <w:rsid w:val="4A2D197A"/>
    <w:rsid w:val="4A335E86"/>
    <w:rsid w:val="4A357040"/>
    <w:rsid w:val="4A366A1B"/>
    <w:rsid w:val="4A3B0DBF"/>
    <w:rsid w:val="4A3C074A"/>
    <w:rsid w:val="4A3C3645"/>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74D15"/>
    <w:rsid w:val="4AF30717"/>
    <w:rsid w:val="4AF54381"/>
    <w:rsid w:val="4AFF07F1"/>
    <w:rsid w:val="4AFF2915"/>
    <w:rsid w:val="4B000128"/>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A62F3"/>
    <w:rsid w:val="4BAC02EC"/>
    <w:rsid w:val="4BAD02A0"/>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2D50A6"/>
    <w:rsid w:val="4C300A96"/>
    <w:rsid w:val="4C366339"/>
    <w:rsid w:val="4C3900BA"/>
    <w:rsid w:val="4C3972A1"/>
    <w:rsid w:val="4C443324"/>
    <w:rsid w:val="4C4A1538"/>
    <w:rsid w:val="4C4B5CF1"/>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76305"/>
    <w:rsid w:val="4C9A62D2"/>
    <w:rsid w:val="4C9D4E3B"/>
    <w:rsid w:val="4CA74125"/>
    <w:rsid w:val="4CA777A5"/>
    <w:rsid w:val="4CAD1D03"/>
    <w:rsid w:val="4CB77F7C"/>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4F32B7"/>
    <w:rsid w:val="4D501E9E"/>
    <w:rsid w:val="4D5545A3"/>
    <w:rsid w:val="4D56242D"/>
    <w:rsid w:val="4D5E313C"/>
    <w:rsid w:val="4D60132F"/>
    <w:rsid w:val="4D63794E"/>
    <w:rsid w:val="4D69275F"/>
    <w:rsid w:val="4D696340"/>
    <w:rsid w:val="4D6E1562"/>
    <w:rsid w:val="4D6E2B65"/>
    <w:rsid w:val="4D716B09"/>
    <w:rsid w:val="4D717673"/>
    <w:rsid w:val="4D7464F6"/>
    <w:rsid w:val="4D7A1765"/>
    <w:rsid w:val="4D7D4CCF"/>
    <w:rsid w:val="4D821CF2"/>
    <w:rsid w:val="4D8412B2"/>
    <w:rsid w:val="4D841638"/>
    <w:rsid w:val="4D8A3A34"/>
    <w:rsid w:val="4D8C2260"/>
    <w:rsid w:val="4D8F063D"/>
    <w:rsid w:val="4D95193A"/>
    <w:rsid w:val="4DA0324A"/>
    <w:rsid w:val="4DA3314C"/>
    <w:rsid w:val="4DA3682D"/>
    <w:rsid w:val="4DB20713"/>
    <w:rsid w:val="4DB2548E"/>
    <w:rsid w:val="4DB43700"/>
    <w:rsid w:val="4DB62FA2"/>
    <w:rsid w:val="4DB81350"/>
    <w:rsid w:val="4DB84B5B"/>
    <w:rsid w:val="4DC03E03"/>
    <w:rsid w:val="4DC171CE"/>
    <w:rsid w:val="4DC92356"/>
    <w:rsid w:val="4DC945C5"/>
    <w:rsid w:val="4DD6753F"/>
    <w:rsid w:val="4DE100E7"/>
    <w:rsid w:val="4DE52367"/>
    <w:rsid w:val="4DF57D5B"/>
    <w:rsid w:val="4DFB4AE2"/>
    <w:rsid w:val="4E0D58F7"/>
    <w:rsid w:val="4E101469"/>
    <w:rsid w:val="4E170C0E"/>
    <w:rsid w:val="4E17118C"/>
    <w:rsid w:val="4E2B2FCF"/>
    <w:rsid w:val="4E333BB5"/>
    <w:rsid w:val="4E357F6B"/>
    <w:rsid w:val="4E371BF7"/>
    <w:rsid w:val="4E3D688F"/>
    <w:rsid w:val="4E3E6E2C"/>
    <w:rsid w:val="4E44293C"/>
    <w:rsid w:val="4E467BC9"/>
    <w:rsid w:val="4E490B45"/>
    <w:rsid w:val="4E53468B"/>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652928"/>
    <w:rsid w:val="4F727B71"/>
    <w:rsid w:val="4F7457B4"/>
    <w:rsid w:val="4F77430D"/>
    <w:rsid w:val="4F7B78F2"/>
    <w:rsid w:val="4F7F2C82"/>
    <w:rsid w:val="4F874785"/>
    <w:rsid w:val="4F885556"/>
    <w:rsid w:val="4F8906F1"/>
    <w:rsid w:val="4F8C1C07"/>
    <w:rsid w:val="4F8C6DE9"/>
    <w:rsid w:val="4F94645F"/>
    <w:rsid w:val="4F956923"/>
    <w:rsid w:val="4F976963"/>
    <w:rsid w:val="4F9C0E3D"/>
    <w:rsid w:val="4F9C1E6A"/>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46771"/>
    <w:rsid w:val="50174394"/>
    <w:rsid w:val="501A0BBE"/>
    <w:rsid w:val="501A21E0"/>
    <w:rsid w:val="5021442D"/>
    <w:rsid w:val="502226B7"/>
    <w:rsid w:val="50290847"/>
    <w:rsid w:val="503175D5"/>
    <w:rsid w:val="5034215C"/>
    <w:rsid w:val="503625F2"/>
    <w:rsid w:val="503A6544"/>
    <w:rsid w:val="503C53AC"/>
    <w:rsid w:val="5046799C"/>
    <w:rsid w:val="50491BF2"/>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0A61B6"/>
    <w:rsid w:val="511013F5"/>
    <w:rsid w:val="511462DE"/>
    <w:rsid w:val="511934F5"/>
    <w:rsid w:val="511A650A"/>
    <w:rsid w:val="511B7FED"/>
    <w:rsid w:val="511D524D"/>
    <w:rsid w:val="51211654"/>
    <w:rsid w:val="5133763C"/>
    <w:rsid w:val="51393A83"/>
    <w:rsid w:val="513B3DF9"/>
    <w:rsid w:val="51401B57"/>
    <w:rsid w:val="51480A97"/>
    <w:rsid w:val="51540609"/>
    <w:rsid w:val="51724F8D"/>
    <w:rsid w:val="51756972"/>
    <w:rsid w:val="517E1E1F"/>
    <w:rsid w:val="51813564"/>
    <w:rsid w:val="518167F0"/>
    <w:rsid w:val="51844B36"/>
    <w:rsid w:val="51896510"/>
    <w:rsid w:val="518B1B6A"/>
    <w:rsid w:val="518B739B"/>
    <w:rsid w:val="519410BA"/>
    <w:rsid w:val="51965D8A"/>
    <w:rsid w:val="519F1F6B"/>
    <w:rsid w:val="51AB65B4"/>
    <w:rsid w:val="51B66A68"/>
    <w:rsid w:val="51BC09C0"/>
    <w:rsid w:val="51BD7EC2"/>
    <w:rsid w:val="51C44E72"/>
    <w:rsid w:val="51C819AA"/>
    <w:rsid w:val="51CC7C75"/>
    <w:rsid w:val="51CD5E2E"/>
    <w:rsid w:val="51D00AA7"/>
    <w:rsid w:val="51D05768"/>
    <w:rsid w:val="51D230DC"/>
    <w:rsid w:val="51D34DB4"/>
    <w:rsid w:val="51DA0FA7"/>
    <w:rsid w:val="51E27B8C"/>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1C56"/>
    <w:rsid w:val="52363194"/>
    <w:rsid w:val="52365463"/>
    <w:rsid w:val="5237135B"/>
    <w:rsid w:val="5240020F"/>
    <w:rsid w:val="52441580"/>
    <w:rsid w:val="5247336B"/>
    <w:rsid w:val="524A5C68"/>
    <w:rsid w:val="52532968"/>
    <w:rsid w:val="52546140"/>
    <w:rsid w:val="525D3774"/>
    <w:rsid w:val="525D5F17"/>
    <w:rsid w:val="525F53B1"/>
    <w:rsid w:val="52643DC8"/>
    <w:rsid w:val="526D0958"/>
    <w:rsid w:val="52734368"/>
    <w:rsid w:val="52836832"/>
    <w:rsid w:val="52924B44"/>
    <w:rsid w:val="529A7E86"/>
    <w:rsid w:val="52A15492"/>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27648A"/>
    <w:rsid w:val="53311BF2"/>
    <w:rsid w:val="533D4C85"/>
    <w:rsid w:val="53447CBE"/>
    <w:rsid w:val="53456AB3"/>
    <w:rsid w:val="534641E0"/>
    <w:rsid w:val="534718C6"/>
    <w:rsid w:val="53496F02"/>
    <w:rsid w:val="534B2225"/>
    <w:rsid w:val="534D106F"/>
    <w:rsid w:val="534F4759"/>
    <w:rsid w:val="53540D68"/>
    <w:rsid w:val="535A036F"/>
    <w:rsid w:val="53624B78"/>
    <w:rsid w:val="536D1FA0"/>
    <w:rsid w:val="53772DC7"/>
    <w:rsid w:val="537920B8"/>
    <w:rsid w:val="53794812"/>
    <w:rsid w:val="5381746B"/>
    <w:rsid w:val="538459BE"/>
    <w:rsid w:val="53850593"/>
    <w:rsid w:val="538E4601"/>
    <w:rsid w:val="5397293F"/>
    <w:rsid w:val="539D297E"/>
    <w:rsid w:val="53A065E4"/>
    <w:rsid w:val="53A1457E"/>
    <w:rsid w:val="53A22DC5"/>
    <w:rsid w:val="53A32E20"/>
    <w:rsid w:val="53AE4BE8"/>
    <w:rsid w:val="53B151E7"/>
    <w:rsid w:val="53B5455A"/>
    <w:rsid w:val="53BB16B1"/>
    <w:rsid w:val="53BB4E26"/>
    <w:rsid w:val="53BC6427"/>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3F202A"/>
    <w:rsid w:val="54412BF0"/>
    <w:rsid w:val="54422EDA"/>
    <w:rsid w:val="544417C9"/>
    <w:rsid w:val="544B50D5"/>
    <w:rsid w:val="54514458"/>
    <w:rsid w:val="54560958"/>
    <w:rsid w:val="546A78D3"/>
    <w:rsid w:val="54767E31"/>
    <w:rsid w:val="54781903"/>
    <w:rsid w:val="548878FA"/>
    <w:rsid w:val="548A1E4E"/>
    <w:rsid w:val="548D289E"/>
    <w:rsid w:val="54910BA4"/>
    <w:rsid w:val="549A0616"/>
    <w:rsid w:val="549B20E6"/>
    <w:rsid w:val="549E3FD7"/>
    <w:rsid w:val="54A60315"/>
    <w:rsid w:val="54A60A72"/>
    <w:rsid w:val="54A7458A"/>
    <w:rsid w:val="54B86248"/>
    <w:rsid w:val="54C24B82"/>
    <w:rsid w:val="54C50B9C"/>
    <w:rsid w:val="54CA3C93"/>
    <w:rsid w:val="54D00FCE"/>
    <w:rsid w:val="54D51870"/>
    <w:rsid w:val="54D90E80"/>
    <w:rsid w:val="54E21F4F"/>
    <w:rsid w:val="54E71077"/>
    <w:rsid w:val="54E925A9"/>
    <w:rsid w:val="54F01E14"/>
    <w:rsid w:val="54F54248"/>
    <w:rsid w:val="54FE0D5F"/>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08DB"/>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C56E3"/>
    <w:rsid w:val="55B85ACE"/>
    <w:rsid w:val="55B952E9"/>
    <w:rsid w:val="55C2581B"/>
    <w:rsid w:val="55C94D7A"/>
    <w:rsid w:val="55D025DF"/>
    <w:rsid w:val="55D0561A"/>
    <w:rsid w:val="55D37AAE"/>
    <w:rsid w:val="55D63A47"/>
    <w:rsid w:val="55DD5590"/>
    <w:rsid w:val="55E67AD8"/>
    <w:rsid w:val="55E77B0B"/>
    <w:rsid w:val="55EE3558"/>
    <w:rsid w:val="55F3287B"/>
    <w:rsid w:val="55FC1DF1"/>
    <w:rsid w:val="55FD5512"/>
    <w:rsid w:val="55FD6C2D"/>
    <w:rsid w:val="5602472C"/>
    <w:rsid w:val="5611799E"/>
    <w:rsid w:val="5614039E"/>
    <w:rsid w:val="561978EB"/>
    <w:rsid w:val="561D0938"/>
    <w:rsid w:val="56254844"/>
    <w:rsid w:val="5627749C"/>
    <w:rsid w:val="562C48A4"/>
    <w:rsid w:val="562E289A"/>
    <w:rsid w:val="56324964"/>
    <w:rsid w:val="5635337A"/>
    <w:rsid w:val="56366E0D"/>
    <w:rsid w:val="563B1048"/>
    <w:rsid w:val="563C2D0A"/>
    <w:rsid w:val="563F1C04"/>
    <w:rsid w:val="5646524C"/>
    <w:rsid w:val="5649734E"/>
    <w:rsid w:val="564E3688"/>
    <w:rsid w:val="56514294"/>
    <w:rsid w:val="566355DD"/>
    <w:rsid w:val="56680BC9"/>
    <w:rsid w:val="56690DA7"/>
    <w:rsid w:val="566926ED"/>
    <w:rsid w:val="567043C4"/>
    <w:rsid w:val="567119B3"/>
    <w:rsid w:val="567636B0"/>
    <w:rsid w:val="567F4D05"/>
    <w:rsid w:val="568363E1"/>
    <w:rsid w:val="568F72C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0740B"/>
    <w:rsid w:val="57320543"/>
    <w:rsid w:val="57351A93"/>
    <w:rsid w:val="573D0DE5"/>
    <w:rsid w:val="574940F5"/>
    <w:rsid w:val="575163DC"/>
    <w:rsid w:val="57564B03"/>
    <w:rsid w:val="575718A5"/>
    <w:rsid w:val="57576764"/>
    <w:rsid w:val="575D1406"/>
    <w:rsid w:val="575D7DC0"/>
    <w:rsid w:val="57646E8D"/>
    <w:rsid w:val="57650A3D"/>
    <w:rsid w:val="57711DF8"/>
    <w:rsid w:val="577269D1"/>
    <w:rsid w:val="577D7C19"/>
    <w:rsid w:val="57820DD4"/>
    <w:rsid w:val="578474C5"/>
    <w:rsid w:val="57883154"/>
    <w:rsid w:val="578F5E8E"/>
    <w:rsid w:val="578F659F"/>
    <w:rsid w:val="5795251B"/>
    <w:rsid w:val="579677D0"/>
    <w:rsid w:val="57984454"/>
    <w:rsid w:val="579C47BB"/>
    <w:rsid w:val="579D6CE4"/>
    <w:rsid w:val="579F608F"/>
    <w:rsid w:val="57A14D1F"/>
    <w:rsid w:val="57A43F9B"/>
    <w:rsid w:val="57A91D3B"/>
    <w:rsid w:val="57AD63CA"/>
    <w:rsid w:val="57B12D5D"/>
    <w:rsid w:val="57B65178"/>
    <w:rsid w:val="57BF4BA2"/>
    <w:rsid w:val="57C0641D"/>
    <w:rsid w:val="57C52144"/>
    <w:rsid w:val="57C648C9"/>
    <w:rsid w:val="57C9266E"/>
    <w:rsid w:val="57D16940"/>
    <w:rsid w:val="57D20BE2"/>
    <w:rsid w:val="57D5434D"/>
    <w:rsid w:val="57E044E1"/>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4050"/>
    <w:rsid w:val="590C6777"/>
    <w:rsid w:val="591531CC"/>
    <w:rsid w:val="59175B2C"/>
    <w:rsid w:val="591B200C"/>
    <w:rsid w:val="59314A2C"/>
    <w:rsid w:val="593712A6"/>
    <w:rsid w:val="59376AEA"/>
    <w:rsid w:val="59384413"/>
    <w:rsid w:val="59391116"/>
    <w:rsid w:val="59407EC1"/>
    <w:rsid w:val="59450184"/>
    <w:rsid w:val="594C4BE4"/>
    <w:rsid w:val="59520002"/>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632A1"/>
    <w:rsid w:val="59D75E4C"/>
    <w:rsid w:val="59D96101"/>
    <w:rsid w:val="59EE4079"/>
    <w:rsid w:val="59F04440"/>
    <w:rsid w:val="59F141F6"/>
    <w:rsid w:val="59FC056D"/>
    <w:rsid w:val="59FF3986"/>
    <w:rsid w:val="5A02602A"/>
    <w:rsid w:val="5A0B4DE2"/>
    <w:rsid w:val="5A104541"/>
    <w:rsid w:val="5A16478D"/>
    <w:rsid w:val="5A1E3F86"/>
    <w:rsid w:val="5A213C60"/>
    <w:rsid w:val="5A21777F"/>
    <w:rsid w:val="5A2250DB"/>
    <w:rsid w:val="5A2331A8"/>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45BA"/>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25575"/>
    <w:rsid w:val="5AC4568B"/>
    <w:rsid w:val="5AC465B0"/>
    <w:rsid w:val="5AC9126A"/>
    <w:rsid w:val="5ACB4402"/>
    <w:rsid w:val="5ACD5F94"/>
    <w:rsid w:val="5AD004C7"/>
    <w:rsid w:val="5AD140B1"/>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72DC1"/>
    <w:rsid w:val="5BA857C0"/>
    <w:rsid w:val="5BAF0D57"/>
    <w:rsid w:val="5BBC3894"/>
    <w:rsid w:val="5BBC7CD9"/>
    <w:rsid w:val="5BC207F8"/>
    <w:rsid w:val="5BC95954"/>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06D7C"/>
    <w:rsid w:val="5C42208F"/>
    <w:rsid w:val="5C4302AF"/>
    <w:rsid w:val="5C496E06"/>
    <w:rsid w:val="5C501594"/>
    <w:rsid w:val="5C530A3F"/>
    <w:rsid w:val="5C533B56"/>
    <w:rsid w:val="5C5820E1"/>
    <w:rsid w:val="5C5D3398"/>
    <w:rsid w:val="5C63455C"/>
    <w:rsid w:val="5C690B0C"/>
    <w:rsid w:val="5C7103F1"/>
    <w:rsid w:val="5C734616"/>
    <w:rsid w:val="5C8E4D46"/>
    <w:rsid w:val="5C911EB8"/>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42E50"/>
    <w:rsid w:val="5DA81A7E"/>
    <w:rsid w:val="5DA81B3F"/>
    <w:rsid w:val="5DAE7141"/>
    <w:rsid w:val="5DB62AA6"/>
    <w:rsid w:val="5DB76529"/>
    <w:rsid w:val="5DC0151D"/>
    <w:rsid w:val="5DC53FF5"/>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946B2"/>
    <w:rsid w:val="5DFA04F6"/>
    <w:rsid w:val="5DFC0198"/>
    <w:rsid w:val="5E034523"/>
    <w:rsid w:val="5E090D92"/>
    <w:rsid w:val="5E0F732F"/>
    <w:rsid w:val="5E146038"/>
    <w:rsid w:val="5E2D2F8F"/>
    <w:rsid w:val="5E2E257F"/>
    <w:rsid w:val="5E3068B0"/>
    <w:rsid w:val="5E335822"/>
    <w:rsid w:val="5E407912"/>
    <w:rsid w:val="5E433AC6"/>
    <w:rsid w:val="5E450C44"/>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CE7ED8"/>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26C9D"/>
    <w:rsid w:val="5F254AD4"/>
    <w:rsid w:val="5F2C1ADA"/>
    <w:rsid w:val="5F307E55"/>
    <w:rsid w:val="5F3C6F75"/>
    <w:rsid w:val="5F403104"/>
    <w:rsid w:val="5F415D9D"/>
    <w:rsid w:val="5F4744F9"/>
    <w:rsid w:val="5F496628"/>
    <w:rsid w:val="5F5111A7"/>
    <w:rsid w:val="5F514A63"/>
    <w:rsid w:val="5F5C1FA9"/>
    <w:rsid w:val="5F5D2245"/>
    <w:rsid w:val="5F5F4C16"/>
    <w:rsid w:val="5F692F24"/>
    <w:rsid w:val="5F6A0B5D"/>
    <w:rsid w:val="5F6C211E"/>
    <w:rsid w:val="5F6C79BB"/>
    <w:rsid w:val="5F727DD0"/>
    <w:rsid w:val="5F734791"/>
    <w:rsid w:val="5F7536CD"/>
    <w:rsid w:val="5F794FC5"/>
    <w:rsid w:val="5F7C1730"/>
    <w:rsid w:val="5F7D7874"/>
    <w:rsid w:val="5F7F4748"/>
    <w:rsid w:val="5F872BDD"/>
    <w:rsid w:val="5F8A1362"/>
    <w:rsid w:val="5F9014AE"/>
    <w:rsid w:val="5F9A3324"/>
    <w:rsid w:val="5FA2777D"/>
    <w:rsid w:val="5FA55820"/>
    <w:rsid w:val="5FA948D4"/>
    <w:rsid w:val="5FB372F0"/>
    <w:rsid w:val="5FC017AD"/>
    <w:rsid w:val="5FC51452"/>
    <w:rsid w:val="5FC729F3"/>
    <w:rsid w:val="5FC83815"/>
    <w:rsid w:val="5FD7706A"/>
    <w:rsid w:val="5FDB4F3D"/>
    <w:rsid w:val="5FE10819"/>
    <w:rsid w:val="5FE30BA2"/>
    <w:rsid w:val="5FE9054F"/>
    <w:rsid w:val="5FF446A9"/>
    <w:rsid w:val="5FF85070"/>
    <w:rsid w:val="5FF940F0"/>
    <w:rsid w:val="5FF96A19"/>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13FA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DB4FD3"/>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03EEE"/>
    <w:rsid w:val="61D9129E"/>
    <w:rsid w:val="61E363D8"/>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45753"/>
    <w:rsid w:val="62660FBE"/>
    <w:rsid w:val="62671568"/>
    <w:rsid w:val="626E1485"/>
    <w:rsid w:val="62724472"/>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5EA5"/>
    <w:rsid w:val="62B86FA9"/>
    <w:rsid w:val="62BC3E88"/>
    <w:rsid w:val="62C002AA"/>
    <w:rsid w:val="62D67E2B"/>
    <w:rsid w:val="62D901BE"/>
    <w:rsid w:val="62DF4F75"/>
    <w:rsid w:val="62E15891"/>
    <w:rsid w:val="62E76DF3"/>
    <w:rsid w:val="62EA5C2C"/>
    <w:rsid w:val="62F562C0"/>
    <w:rsid w:val="62FD04F8"/>
    <w:rsid w:val="62FF6655"/>
    <w:rsid w:val="63074D4D"/>
    <w:rsid w:val="630E2EB5"/>
    <w:rsid w:val="63126B2F"/>
    <w:rsid w:val="63133D38"/>
    <w:rsid w:val="631779BD"/>
    <w:rsid w:val="632E498D"/>
    <w:rsid w:val="633336D4"/>
    <w:rsid w:val="63350F4B"/>
    <w:rsid w:val="63351903"/>
    <w:rsid w:val="6335724C"/>
    <w:rsid w:val="6341499B"/>
    <w:rsid w:val="63416F64"/>
    <w:rsid w:val="634325ED"/>
    <w:rsid w:val="63443AEC"/>
    <w:rsid w:val="634802B3"/>
    <w:rsid w:val="63547A08"/>
    <w:rsid w:val="63574F6E"/>
    <w:rsid w:val="635C28DF"/>
    <w:rsid w:val="63602152"/>
    <w:rsid w:val="636075B2"/>
    <w:rsid w:val="63652712"/>
    <w:rsid w:val="636A0F15"/>
    <w:rsid w:val="637030CB"/>
    <w:rsid w:val="637A63EB"/>
    <w:rsid w:val="6385218B"/>
    <w:rsid w:val="638541CF"/>
    <w:rsid w:val="63864A92"/>
    <w:rsid w:val="638958C1"/>
    <w:rsid w:val="639154D4"/>
    <w:rsid w:val="63951C95"/>
    <w:rsid w:val="639A0875"/>
    <w:rsid w:val="639B71D2"/>
    <w:rsid w:val="63A17DFD"/>
    <w:rsid w:val="63AB1FE1"/>
    <w:rsid w:val="63B01ED8"/>
    <w:rsid w:val="63B5452C"/>
    <w:rsid w:val="63B76AE2"/>
    <w:rsid w:val="63BD439C"/>
    <w:rsid w:val="63BD7C68"/>
    <w:rsid w:val="63C41DD1"/>
    <w:rsid w:val="63C72372"/>
    <w:rsid w:val="63C977A8"/>
    <w:rsid w:val="63D25757"/>
    <w:rsid w:val="63D32D5D"/>
    <w:rsid w:val="63D72CE7"/>
    <w:rsid w:val="63E03FEA"/>
    <w:rsid w:val="63E33D27"/>
    <w:rsid w:val="63E96742"/>
    <w:rsid w:val="63EE5BED"/>
    <w:rsid w:val="63F25DA5"/>
    <w:rsid w:val="63FC5574"/>
    <w:rsid w:val="63FF74B5"/>
    <w:rsid w:val="6401570F"/>
    <w:rsid w:val="6405483D"/>
    <w:rsid w:val="640C5C73"/>
    <w:rsid w:val="640E6446"/>
    <w:rsid w:val="6410782B"/>
    <w:rsid w:val="64131ACE"/>
    <w:rsid w:val="64193316"/>
    <w:rsid w:val="641E4A63"/>
    <w:rsid w:val="641F6408"/>
    <w:rsid w:val="64267B2C"/>
    <w:rsid w:val="642B5677"/>
    <w:rsid w:val="642C236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8F59E0"/>
    <w:rsid w:val="649040B2"/>
    <w:rsid w:val="64932164"/>
    <w:rsid w:val="64990A00"/>
    <w:rsid w:val="649C4ECA"/>
    <w:rsid w:val="64AB6B0F"/>
    <w:rsid w:val="64AD64C8"/>
    <w:rsid w:val="64AE4EA4"/>
    <w:rsid w:val="64B11EFC"/>
    <w:rsid w:val="64B34835"/>
    <w:rsid w:val="64B35DE8"/>
    <w:rsid w:val="64B7365E"/>
    <w:rsid w:val="64BF2A8C"/>
    <w:rsid w:val="64C32A6F"/>
    <w:rsid w:val="64C63292"/>
    <w:rsid w:val="64C70EC1"/>
    <w:rsid w:val="64C91401"/>
    <w:rsid w:val="64CD2D4A"/>
    <w:rsid w:val="64D71BA6"/>
    <w:rsid w:val="64DB76BD"/>
    <w:rsid w:val="64F05517"/>
    <w:rsid w:val="64F34891"/>
    <w:rsid w:val="64F45D47"/>
    <w:rsid w:val="64F46B8A"/>
    <w:rsid w:val="64F77ED0"/>
    <w:rsid w:val="64FB3A3F"/>
    <w:rsid w:val="64FB7419"/>
    <w:rsid w:val="65012C86"/>
    <w:rsid w:val="65084E11"/>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0130A"/>
    <w:rsid w:val="65442614"/>
    <w:rsid w:val="65474108"/>
    <w:rsid w:val="65483234"/>
    <w:rsid w:val="654A70DD"/>
    <w:rsid w:val="65506794"/>
    <w:rsid w:val="65572F3C"/>
    <w:rsid w:val="655A3450"/>
    <w:rsid w:val="655E4E68"/>
    <w:rsid w:val="656503D7"/>
    <w:rsid w:val="656630D1"/>
    <w:rsid w:val="657024EB"/>
    <w:rsid w:val="6570285A"/>
    <w:rsid w:val="65745028"/>
    <w:rsid w:val="65776C14"/>
    <w:rsid w:val="65786867"/>
    <w:rsid w:val="657C01A2"/>
    <w:rsid w:val="657D055C"/>
    <w:rsid w:val="65880D68"/>
    <w:rsid w:val="6588700C"/>
    <w:rsid w:val="658F3432"/>
    <w:rsid w:val="659000AC"/>
    <w:rsid w:val="65945ABB"/>
    <w:rsid w:val="6595479B"/>
    <w:rsid w:val="659E4899"/>
    <w:rsid w:val="65AF5A95"/>
    <w:rsid w:val="65B43B78"/>
    <w:rsid w:val="65B50B8D"/>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C0DCB"/>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13000"/>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00969"/>
    <w:rsid w:val="68426F29"/>
    <w:rsid w:val="68430152"/>
    <w:rsid w:val="68466DDB"/>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0467B"/>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536AB"/>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3126D"/>
    <w:rsid w:val="698922A3"/>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3367"/>
    <w:rsid w:val="6A145E00"/>
    <w:rsid w:val="6A193D7A"/>
    <w:rsid w:val="6A2322EE"/>
    <w:rsid w:val="6A257487"/>
    <w:rsid w:val="6A280CE4"/>
    <w:rsid w:val="6A285C06"/>
    <w:rsid w:val="6A2A5F02"/>
    <w:rsid w:val="6A2F3F03"/>
    <w:rsid w:val="6A3832AF"/>
    <w:rsid w:val="6A3C12F8"/>
    <w:rsid w:val="6A3C7CC8"/>
    <w:rsid w:val="6A3F27B9"/>
    <w:rsid w:val="6A404E3D"/>
    <w:rsid w:val="6A410176"/>
    <w:rsid w:val="6A434B44"/>
    <w:rsid w:val="6A4574D8"/>
    <w:rsid w:val="6A5B3F34"/>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BA2A62"/>
    <w:rsid w:val="6AC032BC"/>
    <w:rsid w:val="6AC8092A"/>
    <w:rsid w:val="6AD06A6E"/>
    <w:rsid w:val="6AD8058D"/>
    <w:rsid w:val="6AE0794B"/>
    <w:rsid w:val="6AE1028F"/>
    <w:rsid w:val="6AE51730"/>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C47D5"/>
    <w:rsid w:val="6B6951C4"/>
    <w:rsid w:val="6B6B795B"/>
    <w:rsid w:val="6B6C155B"/>
    <w:rsid w:val="6B6D17D9"/>
    <w:rsid w:val="6B777900"/>
    <w:rsid w:val="6B7A615E"/>
    <w:rsid w:val="6B7E0908"/>
    <w:rsid w:val="6B842643"/>
    <w:rsid w:val="6B8E6F7C"/>
    <w:rsid w:val="6B8E767A"/>
    <w:rsid w:val="6B923B2B"/>
    <w:rsid w:val="6B9429D1"/>
    <w:rsid w:val="6B960B11"/>
    <w:rsid w:val="6B98025A"/>
    <w:rsid w:val="6B9C3C63"/>
    <w:rsid w:val="6BA31A09"/>
    <w:rsid w:val="6BA75497"/>
    <w:rsid w:val="6BA9582F"/>
    <w:rsid w:val="6BB176F7"/>
    <w:rsid w:val="6BB17E5A"/>
    <w:rsid w:val="6BB35690"/>
    <w:rsid w:val="6BB455C1"/>
    <w:rsid w:val="6BB74227"/>
    <w:rsid w:val="6BBA66B5"/>
    <w:rsid w:val="6BBA68E4"/>
    <w:rsid w:val="6BBB4885"/>
    <w:rsid w:val="6BBE76E4"/>
    <w:rsid w:val="6BC9376F"/>
    <w:rsid w:val="6BD1009A"/>
    <w:rsid w:val="6BD5079D"/>
    <w:rsid w:val="6BE0583E"/>
    <w:rsid w:val="6BE0639E"/>
    <w:rsid w:val="6BE444FA"/>
    <w:rsid w:val="6BE47E21"/>
    <w:rsid w:val="6BEC66EE"/>
    <w:rsid w:val="6BF07EAA"/>
    <w:rsid w:val="6BF14A0C"/>
    <w:rsid w:val="6BF20FB8"/>
    <w:rsid w:val="6C0537C8"/>
    <w:rsid w:val="6C084114"/>
    <w:rsid w:val="6C093B94"/>
    <w:rsid w:val="6C0F41E1"/>
    <w:rsid w:val="6C166603"/>
    <w:rsid w:val="6C197FCB"/>
    <w:rsid w:val="6C267A02"/>
    <w:rsid w:val="6C29167F"/>
    <w:rsid w:val="6C2A6CEE"/>
    <w:rsid w:val="6C2B2504"/>
    <w:rsid w:val="6C2B4363"/>
    <w:rsid w:val="6C304F19"/>
    <w:rsid w:val="6C3053D9"/>
    <w:rsid w:val="6C356ABB"/>
    <w:rsid w:val="6C38645D"/>
    <w:rsid w:val="6C4377B6"/>
    <w:rsid w:val="6C517C60"/>
    <w:rsid w:val="6C5405E0"/>
    <w:rsid w:val="6C551B49"/>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742ED"/>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B21EE"/>
    <w:rsid w:val="6D8F663A"/>
    <w:rsid w:val="6D921648"/>
    <w:rsid w:val="6D927D4F"/>
    <w:rsid w:val="6D943E51"/>
    <w:rsid w:val="6D9A7415"/>
    <w:rsid w:val="6D9C4BDA"/>
    <w:rsid w:val="6D9F77B2"/>
    <w:rsid w:val="6DA22A3B"/>
    <w:rsid w:val="6DA71CDB"/>
    <w:rsid w:val="6DAD7B23"/>
    <w:rsid w:val="6DB43CBF"/>
    <w:rsid w:val="6DB65267"/>
    <w:rsid w:val="6DBE7C28"/>
    <w:rsid w:val="6DC616C6"/>
    <w:rsid w:val="6DC869CE"/>
    <w:rsid w:val="6DC95CAA"/>
    <w:rsid w:val="6DCA662C"/>
    <w:rsid w:val="6DCE70D9"/>
    <w:rsid w:val="6DD54A74"/>
    <w:rsid w:val="6DE512BE"/>
    <w:rsid w:val="6DE61A59"/>
    <w:rsid w:val="6DEA6AB1"/>
    <w:rsid w:val="6DEC6482"/>
    <w:rsid w:val="6DED1851"/>
    <w:rsid w:val="6DF73D6D"/>
    <w:rsid w:val="6DFB5040"/>
    <w:rsid w:val="6DFC483A"/>
    <w:rsid w:val="6DFE1195"/>
    <w:rsid w:val="6DFF0BBF"/>
    <w:rsid w:val="6DFF24B3"/>
    <w:rsid w:val="6E047794"/>
    <w:rsid w:val="6E0B3FCF"/>
    <w:rsid w:val="6E0B72B9"/>
    <w:rsid w:val="6E0C686E"/>
    <w:rsid w:val="6E1451C2"/>
    <w:rsid w:val="6E162FFC"/>
    <w:rsid w:val="6E2703E9"/>
    <w:rsid w:val="6E2B7861"/>
    <w:rsid w:val="6E2F1A84"/>
    <w:rsid w:val="6E3D153A"/>
    <w:rsid w:val="6E3D457A"/>
    <w:rsid w:val="6E471FA2"/>
    <w:rsid w:val="6E4A41E5"/>
    <w:rsid w:val="6E51768B"/>
    <w:rsid w:val="6E56438B"/>
    <w:rsid w:val="6E566306"/>
    <w:rsid w:val="6E5F53C9"/>
    <w:rsid w:val="6E6A1EA2"/>
    <w:rsid w:val="6E6B1B2A"/>
    <w:rsid w:val="6E6D6DD6"/>
    <w:rsid w:val="6E6F0F38"/>
    <w:rsid w:val="6E7234C8"/>
    <w:rsid w:val="6E74290C"/>
    <w:rsid w:val="6E775B0D"/>
    <w:rsid w:val="6E7B4978"/>
    <w:rsid w:val="6E7C180A"/>
    <w:rsid w:val="6E8677E9"/>
    <w:rsid w:val="6E871FD2"/>
    <w:rsid w:val="6E8A6695"/>
    <w:rsid w:val="6E8D29C3"/>
    <w:rsid w:val="6E8F301E"/>
    <w:rsid w:val="6E8F6DAA"/>
    <w:rsid w:val="6E9060BF"/>
    <w:rsid w:val="6EA73D3F"/>
    <w:rsid w:val="6EAE21D1"/>
    <w:rsid w:val="6EB0265D"/>
    <w:rsid w:val="6EB4297B"/>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2E26B3"/>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EC7139"/>
    <w:rsid w:val="6FF00E79"/>
    <w:rsid w:val="6FF15C82"/>
    <w:rsid w:val="6FFB18A6"/>
    <w:rsid w:val="6FFD13E7"/>
    <w:rsid w:val="70035B63"/>
    <w:rsid w:val="70036B75"/>
    <w:rsid w:val="70057CA4"/>
    <w:rsid w:val="70084791"/>
    <w:rsid w:val="700B4CC3"/>
    <w:rsid w:val="700E3BD9"/>
    <w:rsid w:val="701B650B"/>
    <w:rsid w:val="70200403"/>
    <w:rsid w:val="702101C4"/>
    <w:rsid w:val="70233697"/>
    <w:rsid w:val="702F5DFE"/>
    <w:rsid w:val="702F7F84"/>
    <w:rsid w:val="7041670E"/>
    <w:rsid w:val="704622D4"/>
    <w:rsid w:val="704E2703"/>
    <w:rsid w:val="70513178"/>
    <w:rsid w:val="70515849"/>
    <w:rsid w:val="705D0918"/>
    <w:rsid w:val="705E1C14"/>
    <w:rsid w:val="705E1EC1"/>
    <w:rsid w:val="705F0277"/>
    <w:rsid w:val="7060303C"/>
    <w:rsid w:val="706A1F04"/>
    <w:rsid w:val="706B024D"/>
    <w:rsid w:val="70711F9A"/>
    <w:rsid w:val="70764871"/>
    <w:rsid w:val="707A11BD"/>
    <w:rsid w:val="707C2F7E"/>
    <w:rsid w:val="7080762B"/>
    <w:rsid w:val="70812330"/>
    <w:rsid w:val="70853B74"/>
    <w:rsid w:val="709679E3"/>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E86ADD"/>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8B2947"/>
    <w:rsid w:val="718C02FE"/>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05DC2"/>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B6D3C"/>
    <w:rsid w:val="72314763"/>
    <w:rsid w:val="723A16A4"/>
    <w:rsid w:val="723B0B95"/>
    <w:rsid w:val="723B52B8"/>
    <w:rsid w:val="724104B8"/>
    <w:rsid w:val="724A4324"/>
    <w:rsid w:val="724D6F66"/>
    <w:rsid w:val="72522723"/>
    <w:rsid w:val="72526D2A"/>
    <w:rsid w:val="725340BD"/>
    <w:rsid w:val="72542A36"/>
    <w:rsid w:val="72555383"/>
    <w:rsid w:val="725B002B"/>
    <w:rsid w:val="726071AA"/>
    <w:rsid w:val="726373ED"/>
    <w:rsid w:val="726843AE"/>
    <w:rsid w:val="728A60B0"/>
    <w:rsid w:val="728B69E4"/>
    <w:rsid w:val="72930D42"/>
    <w:rsid w:val="72956586"/>
    <w:rsid w:val="729F0E66"/>
    <w:rsid w:val="72A31793"/>
    <w:rsid w:val="72A362B4"/>
    <w:rsid w:val="72A74552"/>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F114F"/>
    <w:rsid w:val="7301303C"/>
    <w:rsid w:val="73024E04"/>
    <w:rsid w:val="730B0185"/>
    <w:rsid w:val="730B2912"/>
    <w:rsid w:val="73117F42"/>
    <w:rsid w:val="73130C07"/>
    <w:rsid w:val="731829E1"/>
    <w:rsid w:val="73266F63"/>
    <w:rsid w:val="732A69D2"/>
    <w:rsid w:val="732E73B4"/>
    <w:rsid w:val="732F0552"/>
    <w:rsid w:val="73353A9D"/>
    <w:rsid w:val="733A4AF0"/>
    <w:rsid w:val="733E5133"/>
    <w:rsid w:val="73470963"/>
    <w:rsid w:val="734B783B"/>
    <w:rsid w:val="73606A76"/>
    <w:rsid w:val="73640D2D"/>
    <w:rsid w:val="73664C31"/>
    <w:rsid w:val="736F39A6"/>
    <w:rsid w:val="736F5ADD"/>
    <w:rsid w:val="737773BC"/>
    <w:rsid w:val="73803D51"/>
    <w:rsid w:val="73825C14"/>
    <w:rsid w:val="73833688"/>
    <w:rsid w:val="73847541"/>
    <w:rsid w:val="73896932"/>
    <w:rsid w:val="738B78DE"/>
    <w:rsid w:val="738E0824"/>
    <w:rsid w:val="738F3A55"/>
    <w:rsid w:val="739942FF"/>
    <w:rsid w:val="73A760F2"/>
    <w:rsid w:val="73B00CC3"/>
    <w:rsid w:val="73B06C67"/>
    <w:rsid w:val="73B72266"/>
    <w:rsid w:val="73BD2509"/>
    <w:rsid w:val="73C55A94"/>
    <w:rsid w:val="73D63DCA"/>
    <w:rsid w:val="73D76FCF"/>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23205"/>
    <w:rsid w:val="74891CF9"/>
    <w:rsid w:val="748B0C7D"/>
    <w:rsid w:val="74903C13"/>
    <w:rsid w:val="74957A0A"/>
    <w:rsid w:val="74A25A03"/>
    <w:rsid w:val="74AB7FDA"/>
    <w:rsid w:val="74AE2C50"/>
    <w:rsid w:val="74AE30E3"/>
    <w:rsid w:val="74AF19B2"/>
    <w:rsid w:val="74B33364"/>
    <w:rsid w:val="74B4717D"/>
    <w:rsid w:val="74B8316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65327"/>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03143"/>
    <w:rsid w:val="75FB7495"/>
    <w:rsid w:val="75FC7D3B"/>
    <w:rsid w:val="75FE31D9"/>
    <w:rsid w:val="75FF0133"/>
    <w:rsid w:val="75FF0244"/>
    <w:rsid w:val="76003A09"/>
    <w:rsid w:val="760231B5"/>
    <w:rsid w:val="76036560"/>
    <w:rsid w:val="76082FFA"/>
    <w:rsid w:val="760A687D"/>
    <w:rsid w:val="760E0D7A"/>
    <w:rsid w:val="761025FD"/>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9095E"/>
    <w:rsid w:val="765A2E54"/>
    <w:rsid w:val="765C20F6"/>
    <w:rsid w:val="7669425E"/>
    <w:rsid w:val="766B3DFC"/>
    <w:rsid w:val="76710E80"/>
    <w:rsid w:val="7672739A"/>
    <w:rsid w:val="767E302B"/>
    <w:rsid w:val="76823B6E"/>
    <w:rsid w:val="768542F9"/>
    <w:rsid w:val="769016B8"/>
    <w:rsid w:val="76932345"/>
    <w:rsid w:val="769F0579"/>
    <w:rsid w:val="76A35D52"/>
    <w:rsid w:val="76A5622D"/>
    <w:rsid w:val="76A633ED"/>
    <w:rsid w:val="76AB5F51"/>
    <w:rsid w:val="76B02504"/>
    <w:rsid w:val="76B576A3"/>
    <w:rsid w:val="76BF45A0"/>
    <w:rsid w:val="76C30824"/>
    <w:rsid w:val="76C428B5"/>
    <w:rsid w:val="76C50EFA"/>
    <w:rsid w:val="76C87FBA"/>
    <w:rsid w:val="76D03D47"/>
    <w:rsid w:val="76D16B19"/>
    <w:rsid w:val="76D723E3"/>
    <w:rsid w:val="76DB3BA3"/>
    <w:rsid w:val="76E02C24"/>
    <w:rsid w:val="76E34A56"/>
    <w:rsid w:val="76E56D71"/>
    <w:rsid w:val="76E6140A"/>
    <w:rsid w:val="76ED7808"/>
    <w:rsid w:val="76F1454B"/>
    <w:rsid w:val="76F41B95"/>
    <w:rsid w:val="76F6139A"/>
    <w:rsid w:val="76FA7A7E"/>
    <w:rsid w:val="76FF75D2"/>
    <w:rsid w:val="770268CD"/>
    <w:rsid w:val="77031968"/>
    <w:rsid w:val="77050573"/>
    <w:rsid w:val="77066555"/>
    <w:rsid w:val="77067A75"/>
    <w:rsid w:val="7707185C"/>
    <w:rsid w:val="770760C1"/>
    <w:rsid w:val="770A715A"/>
    <w:rsid w:val="770C2EAD"/>
    <w:rsid w:val="77111055"/>
    <w:rsid w:val="77140ED4"/>
    <w:rsid w:val="7717373F"/>
    <w:rsid w:val="77187B86"/>
    <w:rsid w:val="771C3614"/>
    <w:rsid w:val="772C5306"/>
    <w:rsid w:val="772D352E"/>
    <w:rsid w:val="7733773C"/>
    <w:rsid w:val="7734057D"/>
    <w:rsid w:val="77343121"/>
    <w:rsid w:val="77355E6E"/>
    <w:rsid w:val="77382BBE"/>
    <w:rsid w:val="77383244"/>
    <w:rsid w:val="77443794"/>
    <w:rsid w:val="77453002"/>
    <w:rsid w:val="77492C03"/>
    <w:rsid w:val="774F423A"/>
    <w:rsid w:val="774F7910"/>
    <w:rsid w:val="7756714D"/>
    <w:rsid w:val="77571D77"/>
    <w:rsid w:val="77597E3E"/>
    <w:rsid w:val="77625740"/>
    <w:rsid w:val="7769549F"/>
    <w:rsid w:val="776C70D2"/>
    <w:rsid w:val="7770508C"/>
    <w:rsid w:val="777224B9"/>
    <w:rsid w:val="777C4D24"/>
    <w:rsid w:val="778807C6"/>
    <w:rsid w:val="77883832"/>
    <w:rsid w:val="7789361D"/>
    <w:rsid w:val="778D3458"/>
    <w:rsid w:val="77905FA2"/>
    <w:rsid w:val="779B111F"/>
    <w:rsid w:val="779B34EE"/>
    <w:rsid w:val="77A6008A"/>
    <w:rsid w:val="77A9111A"/>
    <w:rsid w:val="77AC00C4"/>
    <w:rsid w:val="77B05D89"/>
    <w:rsid w:val="77B268BA"/>
    <w:rsid w:val="77B47AEB"/>
    <w:rsid w:val="77B6601D"/>
    <w:rsid w:val="77BB391E"/>
    <w:rsid w:val="77BF6C49"/>
    <w:rsid w:val="77D7676B"/>
    <w:rsid w:val="77DB70C7"/>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2F5A83"/>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746B9"/>
    <w:rsid w:val="78682E27"/>
    <w:rsid w:val="786B2A6C"/>
    <w:rsid w:val="786C5E43"/>
    <w:rsid w:val="786E7579"/>
    <w:rsid w:val="78714A8B"/>
    <w:rsid w:val="787B626A"/>
    <w:rsid w:val="787E78CF"/>
    <w:rsid w:val="78842FF3"/>
    <w:rsid w:val="7889168E"/>
    <w:rsid w:val="78932A56"/>
    <w:rsid w:val="78957160"/>
    <w:rsid w:val="7897387D"/>
    <w:rsid w:val="78996993"/>
    <w:rsid w:val="789F05FD"/>
    <w:rsid w:val="78A24FBC"/>
    <w:rsid w:val="78A35617"/>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8576E"/>
    <w:rsid w:val="793A1AE4"/>
    <w:rsid w:val="793C7B07"/>
    <w:rsid w:val="79451F4D"/>
    <w:rsid w:val="794621D6"/>
    <w:rsid w:val="794A6843"/>
    <w:rsid w:val="794F4BE2"/>
    <w:rsid w:val="795134B6"/>
    <w:rsid w:val="795473E7"/>
    <w:rsid w:val="795E06F8"/>
    <w:rsid w:val="795E094E"/>
    <w:rsid w:val="795E35AB"/>
    <w:rsid w:val="79620926"/>
    <w:rsid w:val="79681A85"/>
    <w:rsid w:val="79725241"/>
    <w:rsid w:val="79732E77"/>
    <w:rsid w:val="79736CFC"/>
    <w:rsid w:val="79740FDB"/>
    <w:rsid w:val="79743161"/>
    <w:rsid w:val="798B0BA1"/>
    <w:rsid w:val="799255C4"/>
    <w:rsid w:val="799538B1"/>
    <w:rsid w:val="7995465F"/>
    <w:rsid w:val="799C771D"/>
    <w:rsid w:val="799F269A"/>
    <w:rsid w:val="79A51DD5"/>
    <w:rsid w:val="79A85B1D"/>
    <w:rsid w:val="79B27C4C"/>
    <w:rsid w:val="79B44F8C"/>
    <w:rsid w:val="79BA2167"/>
    <w:rsid w:val="79BD6F74"/>
    <w:rsid w:val="79BF551C"/>
    <w:rsid w:val="79C120E0"/>
    <w:rsid w:val="79C634A3"/>
    <w:rsid w:val="79C723A4"/>
    <w:rsid w:val="79C74587"/>
    <w:rsid w:val="79CA3BEB"/>
    <w:rsid w:val="79DF3AB5"/>
    <w:rsid w:val="79EA45A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93308"/>
    <w:rsid w:val="7ABB6B96"/>
    <w:rsid w:val="7ABD44B1"/>
    <w:rsid w:val="7AC21F5F"/>
    <w:rsid w:val="7AC33BB3"/>
    <w:rsid w:val="7AC4137C"/>
    <w:rsid w:val="7AC66B15"/>
    <w:rsid w:val="7AC94F89"/>
    <w:rsid w:val="7ACC2F08"/>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5B7E69"/>
    <w:rsid w:val="7B61362C"/>
    <w:rsid w:val="7B7501AD"/>
    <w:rsid w:val="7B78034A"/>
    <w:rsid w:val="7B8D7752"/>
    <w:rsid w:val="7B8E37DE"/>
    <w:rsid w:val="7B8F47C7"/>
    <w:rsid w:val="7B914B96"/>
    <w:rsid w:val="7B927B14"/>
    <w:rsid w:val="7B950516"/>
    <w:rsid w:val="7B9567A9"/>
    <w:rsid w:val="7B9A7554"/>
    <w:rsid w:val="7B9E2E81"/>
    <w:rsid w:val="7BA051CC"/>
    <w:rsid w:val="7BAB3008"/>
    <w:rsid w:val="7BAB4D2A"/>
    <w:rsid w:val="7BB55C27"/>
    <w:rsid w:val="7BBA1EAE"/>
    <w:rsid w:val="7BC43B6B"/>
    <w:rsid w:val="7BC865B3"/>
    <w:rsid w:val="7BCD2D6C"/>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1F60C9"/>
    <w:rsid w:val="7C234A9B"/>
    <w:rsid w:val="7C236DC4"/>
    <w:rsid w:val="7C272E9E"/>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B511D"/>
    <w:rsid w:val="7C7C3178"/>
    <w:rsid w:val="7C7E4097"/>
    <w:rsid w:val="7C7F218D"/>
    <w:rsid w:val="7C896FBA"/>
    <w:rsid w:val="7C8B4BD5"/>
    <w:rsid w:val="7C90608C"/>
    <w:rsid w:val="7C997B87"/>
    <w:rsid w:val="7C9A793C"/>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6EF5"/>
    <w:rsid w:val="7D4C7CE9"/>
    <w:rsid w:val="7D50513A"/>
    <w:rsid w:val="7D512D55"/>
    <w:rsid w:val="7D5709AE"/>
    <w:rsid w:val="7D5E2E71"/>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85DBE"/>
    <w:rsid w:val="7DDA4118"/>
    <w:rsid w:val="7DDB237C"/>
    <w:rsid w:val="7DE750D0"/>
    <w:rsid w:val="7DE8415F"/>
    <w:rsid w:val="7DEB13EA"/>
    <w:rsid w:val="7DEB3196"/>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639FA"/>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C3AD4"/>
    <w:rsid w:val="7EDF411C"/>
    <w:rsid w:val="7EE06063"/>
    <w:rsid w:val="7EE32EA1"/>
    <w:rsid w:val="7EE85E1A"/>
    <w:rsid w:val="7EE9267A"/>
    <w:rsid w:val="7EFD09E8"/>
    <w:rsid w:val="7EFE452B"/>
    <w:rsid w:val="7F007AB1"/>
    <w:rsid w:val="7F032E41"/>
    <w:rsid w:val="7F042CED"/>
    <w:rsid w:val="7F054619"/>
    <w:rsid w:val="7F0B3EAA"/>
    <w:rsid w:val="7F1026DA"/>
    <w:rsid w:val="7F145629"/>
    <w:rsid w:val="7F1634AE"/>
    <w:rsid w:val="7F2371D0"/>
    <w:rsid w:val="7F25457C"/>
    <w:rsid w:val="7F3C2189"/>
    <w:rsid w:val="7F3C3603"/>
    <w:rsid w:val="7F3C394C"/>
    <w:rsid w:val="7F563140"/>
    <w:rsid w:val="7F614A34"/>
    <w:rsid w:val="7F614D28"/>
    <w:rsid w:val="7F6179F3"/>
    <w:rsid w:val="7F63372A"/>
    <w:rsid w:val="7F642634"/>
    <w:rsid w:val="7F6803ED"/>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59" w:semiHidden="0" w:name="Table Grid"/>
    <w:lsdException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5"/>
    <w:qFormat/>
    <w:uiPriority w:val="0"/>
    <w:pPr>
      <w:keepNext/>
      <w:keepLines/>
      <w:numPr>
        <w:ilvl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snapToGrid w:val="0"/>
      <w:spacing w:line="240" w:lineRule="auto"/>
      <w:ind w:left="0" w:firstLine="221" w:firstLineChars="100"/>
      <w:jc w:val="both"/>
      <w:outlineLvl w:val="2"/>
    </w:pPr>
    <w:rPr>
      <w:sz w:val="24"/>
    </w:rPr>
  </w:style>
  <w:style w:type="paragraph" w:styleId="5">
    <w:name w:val="heading 4"/>
    <w:basedOn w:val="4"/>
    <w:next w:val="1"/>
    <w:link w:val="65"/>
    <w:qFormat/>
    <w:uiPriority w:val="0"/>
    <w:pPr>
      <w:overflowPunct w:val="0"/>
      <w:spacing w:after="0"/>
      <w:textAlignment w:val="baseline"/>
      <w:outlineLvl w:val="3"/>
    </w:pPr>
    <w:rPr>
      <w:sz w:val="28"/>
      <w:szCs w:val="28"/>
      <w:lang w:val="en-GB"/>
    </w:rPr>
  </w:style>
  <w:style w:type="paragraph" w:styleId="6">
    <w:name w:val="heading 5"/>
    <w:basedOn w:val="1"/>
    <w:next w:val="1"/>
    <w:link w:val="66"/>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0"/>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3"/>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59"/>
    <w:unhideWhenUsed/>
    <w:qFormat/>
    <w:uiPriority w:val="99"/>
    <w:pPr>
      <w:spacing w:after="0" w:line="240" w:lineRule="auto"/>
    </w:pPr>
    <w:rPr>
      <w:rFonts w:eastAsia="Calibri"/>
      <w:szCs w:val="21"/>
      <w:lang w:val="en-GB" w:eastAsia="en-US"/>
    </w:rPr>
  </w:style>
  <w:style w:type="paragraph" w:styleId="20">
    <w:name w:val="Date"/>
    <w:basedOn w:val="1"/>
    <w:next w:val="1"/>
    <w:link w:val="53"/>
    <w:unhideWhenUsed/>
    <w:qFormat/>
    <w:uiPriority w:val="99"/>
    <w:pPr>
      <w:ind w:left="100" w:leftChars="2500"/>
    </w:pPr>
  </w:style>
  <w:style w:type="paragraph" w:styleId="21">
    <w:name w:val="Balloon Text"/>
    <w:basedOn w:val="1"/>
    <w:link w:val="34"/>
    <w:unhideWhenUsed/>
    <w:qFormat/>
    <w:uiPriority w:val="99"/>
    <w:pPr>
      <w:spacing w:after="0" w:line="240" w:lineRule="auto"/>
    </w:pPr>
    <w:rPr>
      <w:rFonts w:ascii="Tahoma" w:hAnsi="Tahoma"/>
      <w:sz w:val="16"/>
      <w:szCs w:val="16"/>
    </w:rPr>
  </w:style>
  <w:style w:type="paragraph" w:styleId="22">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Char"/>
    <w:link w:val="21"/>
    <w:semiHidden/>
    <w:qFormat/>
    <w:uiPriority w:val="99"/>
    <w:rPr>
      <w:rFonts w:ascii="Tahoma" w:hAnsi="Tahoma" w:cs="Tahoma"/>
      <w:sz w:val="16"/>
      <w:szCs w:val="16"/>
    </w:rPr>
  </w:style>
  <w:style w:type="character" w:customStyle="1" w:styleId="35">
    <w:name w:val="标题 1 Char"/>
    <w:link w:val="2"/>
    <w:qFormat/>
    <w:uiPriority w:val="0"/>
    <w:rPr>
      <w:rFonts w:ascii="Arial" w:hAnsi="Arial" w:eastAsia="黑体"/>
      <w:b/>
      <w:bCs/>
      <w:sz w:val="30"/>
      <w:szCs w:val="30"/>
      <w:lang w:val="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文档结构图 Char"/>
    <w:link w:val="14"/>
    <w:semiHidden/>
    <w:qFormat/>
    <w:uiPriority w:val="99"/>
    <w:rPr>
      <w:rFonts w:ascii="宋体"/>
      <w:sz w:val="18"/>
      <w:szCs w:val="18"/>
    </w:rPr>
  </w:style>
  <w:style w:type="character" w:customStyle="1" w:styleId="41">
    <w:name w:val="正文文本 Char"/>
    <w:link w:val="16"/>
    <w:qFormat/>
    <w:uiPriority w:val="0"/>
    <w:rPr>
      <w:rFonts w:ascii="Times New Roman" w:hAnsi="Times New Roman"/>
      <w:color w:val="0000FF"/>
      <w:kern w:val="2"/>
      <w:sz w:val="21"/>
    </w:rPr>
  </w:style>
  <w:style w:type="character" w:customStyle="1" w:styleId="42">
    <w:name w:val="题注 Char"/>
    <w:link w:val="13"/>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Char"/>
    <w:link w:val="22"/>
    <w:qFormat/>
    <w:uiPriority w:val="99"/>
    <w:rPr>
      <w:sz w:val="18"/>
      <w:szCs w:val="18"/>
    </w:rPr>
  </w:style>
  <w:style w:type="character" w:customStyle="1" w:styleId="45">
    <w:name w:val="标题 2 Char"/>
    <w:link w:val="3"/>
    <w:qFormat/>
    <w:uiPriority w:val="0"/>
    <w:rPr>
      <w:rFonts w:ascii="Times New Roman" w:hAnsi="Times New Roman" w:eastAsiaTheme="minorEastAsia"/>
      <w:b/>
      <w:bCs/>
      <w:sz w:val="32"/>
      <w:szCs w:val="32"/>
      <w:lang w:val="en-US" w:eastAsia="zh-CN"/>
    </w:rPr>
  </w:style>
  <w:style w:type="character" w:customStyle="1" w:styleId="46">
    <w:name w:val="标题 3 Char"/>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Char"/>
    <w:link w:val="20"/>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Char"/>
    <w:link w:val="19"/>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Char"/>
    <w:link w:val="5"/>
    <w:qFormat/>
    <w:uiPriority w:val="0"/>
    <w:rPr>
      <w:rFonts w:ascii="Times New Roman" w:hAnsi="Times New Roman"/>
      <w:b/>
      <w:sz w:val="28"/>
      <w:szCs w:val="28"/>
      <w:lang w:val="en-GB"/>
    </w:rPr>
  </w:style>
  <w:style w:type="character" w:customStyle="1" w:styleId="66">
    <w:name w:val="标题 5 Char"/>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Char"/>
    <w:basedOn w:val="29"/>
    <w:link w:val="17"/>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2"/>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24"/>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link w:val="11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修订2"/>
    <w:hidden/>
    <w:semiHidden/>
    <w:qFormat/>
    <w:uiPriority w:val="99"/>
    <w:rPr>
      <w:rFonts w:ascii="Calibri" w:hAnsi="Calibri" w:cs="Times New Roman" w:eastAsiaTheme="minorEastAsia"/>
      <w:sz w:val="22"/>
      <w:szCs w:val="22"/>
      <w:lang w:val="en-US" w:eastAsia="zh-CN" w:bidi="ar-SA"/>
    </w:rPr>
  </w:style>
  <w:style w:type="character" w:customStyle="1" w:styleId="111">
    <w:name w:val="列出段落 Char1"/>
    <w:link w:val="94"/>
    <w:qFormat/>
    <w:locked/>
    <w:uiPriority w:val="34"/>
    <w:rPr>
      <w:sz w:val="22"/>
      <w:lang w:eastAsia="ja-JP"/>
    </w:rPr>
  </w:style>
  <w:style w:type="paragraph" w:customStyle="1" w:styleId="112">
    <w:name w:val="Tdoc_Header_2"/>
    <w:basedOn w:val="1"/>
    <w:qFormat/>
    <w:uiPriority w:val="0"/>
    <w:pPr>
      <w:widowControl w:val="0"/>
      <w:tabs>
        <w:tab w:val="left" w:pos="1701"/>
        <w:tab w:val="right" w:pos="9072"/>
        <w:tab w:val="right" w:pos="10206"/>
      </w:tabs>
      <w:jc w:val="both"/>
    </w:pPr>
    <w:rPr>
      <w:rFonts w:ascii="Arial" w:hAnsi="Arial"/>
      <w:b/>
      <w:sz w:val="1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e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98FCB6-07E8-4617-A44C-5739683D1894}">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4870</Words>
  <Characters>27760</Characters>
  <Lines>231</Lines>
  <Paragraphs>65</Paragraphs>
  <TotalTime>0</TotalTime>
  <ScaleCrop>false</ScaleCrop>
  <LinksUpToDate>false</LinksUpToDate>
  <CharactersWithSpaces>32565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2023-04-06T10:55:18Z</dcterms:modified>
  <cp:revision>1061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08142AD984B846529BC3F7F3AEAE59AE</vt:lpwstr>
  </property>
</Properties>
</file>